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el"/>
        <w:spacing w:before="0"/>
      </w:pPr>
    </w:p>
    <w:p/>
    <w:p>
      <w:pPr>
        <w:pStyle w:val="Titel"/>
        <w:spacing w:before="0"/>
      </w:pPr>
    </w:p>
    <w:p>
      <w:pPr>
        <w:pStyle w:val="Titel"/>
        <w:spacing w:before="0"/>
      </w:pPr>
    </w:p>
    <w:p>
      <w:pPr>
        <w:pStyle w:val="Titel"/>
        <w:spacing w:before="0"/>
        <w:ind w:firstLine="0"/>
      </w:pPr>
      <w:r>
        <w:rPr>
          <w:sz w:val="28"/>
          <w:szCs w:val="28"/>
        </w:rPr>
        <w:t xml:space="preserve">Cahiers des charges (neutre / non neutre)</w:t>
      </w:r>
    </w:p>
    <w:p/>
    <w:p/>
    <w:p/>
    <w:p/>
    <w:p/>
    <w:p/>
    <w:p/>
    <w:p>
      <w:pPr>
        <w:pStyle w:val="Kop2"/>
      </w:pPr>
      <w:r>
        <w:rPr>
          <w:color w:val="5D9AA1"/>
          <w:sz w:val="36"/>
          <w:szCs w:val="36"/>
        </w:rPr>
        <w:t xml:space="preserve">Mur extérieur porteur à ossature bois REI 60 </w:t>
      </w:r>
      <w:r>
        <w:rPr>
          <w:caps w:val="0"/>
          <w:color w:val="5D9AA1"/>
          <w:sz w:val="36"/>
          <w:szCs w:val="36"/>
        </w:rPr>
        <w:t xml:space="preserve">(o↔i)</w:t>
      </w:r>
    </w:p>
    <w:p>
      <w:pPr>
        <w:pStyle w:val="Ondertitel"/>
        <w:ind w:firstLine="0"/>
      </w:pPr>
      <w:r>
        <w:rPr>
          <w:sz w:val="36"/>
          <w:szCs w:val="36"/>
        </w:rPr>
        <w:t xml:space="preserve">Ouate de cellulose </w:t>
      </w:r>
      <w:r>
        <w:rPr>
          <w:caps w:val="0"/>
          <w:sz w:val="36"/>
          <w:szCs w:val="36"/>
        </w:rPr>
        <w:t xml:space="preserve">iQ3</w:t>
      </w:r>
      <w:r>
        <w:rPr>
          <w:sz w:val="36"/>
          <w:szCs w:val="36"/>
        </w:rPr>
        <w:t xml:space="preserve"> et Block'Air Particle</w:t>
      </w:r>
    </w:p>
    <w:p>
      <w:pPr>
        <w:pStyle w:val="Ondertitel"/>
        <w:ind w:firstLine="0"/>
      </w:pPr>
      <w:r>
        <w:rPr>
          <w:sz w:val="28"/>
          <w:szCs w:val="28"/>
        </w:rPr>
        <w:t xml:space="preserve">avec Siniat Weather Defence et Siniat Prégyflam</w:t>
      </w:r>
    </w:p>
    <w:p/>
    <w:p/>
    <w:p/>
    <w:p/>
    <w:p/>
    <w:p>
      <w:pPr>
        <w:spacing w:before="0" w:after="0"/>
      </w:pPr>
      <w:r>
        <w:br w:type="page"/>
      </w:r>
    </w:p>
    <w:p>
      <w:pPr>
        <w:pStyle w:val="Kop1"/>
        <w:numPr>
          <w:ilvl w:val="0"/>
          <w:numId w:val="0"/>
        </w:numPr>
      </w:pPr>
      <w:bookmarkStart w:id="100" w:name="_Cahiers_des_charges"/>
      <w:bookmarkEnd w:id="100"/>
      <w:r>
        <w:t xml:space="preserve">Cahiers des charges mur extérieur REI 60 avec ouate de cellulose </w:t>
      </w:r>
      <w:r>
        <w:rPr>
          <w:caps w:val="0"/>
        </w:rPr>
        <w:t xml:space="preserve">iQ3</w:t>
      </w:r>
    </w:p>
    <w:p>
      <w:pPr>
        <w:pStyle w:val="Kop3"/>
        <w:keepNext/>
      </w:pPr>
      <w:r>
        <w:t xml:space="preserve">Principales applications</w:t>
      </w:r>
    </w:p>
    <w:p>
      <w:pPr>
        <w:pStyle w:val="Lijstalinea"/>
        <w:numPr>
          <w:ilvl w:val="0"/>
          <w:numId w:val="9"/>
        </w:numPr>
      </w:pPr>
      <w:r>
        <w:rPr>
          <w:b/>
          <w:bCs/>
        </w:rPr>
        <w:t xml:space="preserve">Mur extérieur porteur</w:t>
      </w:r>
      <w:r>
        <w:t xml:space="preserve"> à ossature bois avec une résistance au feu REI 60 </w:t>
      </w:r>
      <w:r>
        <w:rPr>
          <w:caps w:val="0"/>
        </w:rPr>
        <w:t xml:space="preserve">(o↔i)</w:t>
      </w:r>
      <w:r>
        <w:t xml:space="preserve">, décrit comme élément composé.</w:t>
      </w:r>
    </w:p>
    <w:p>
      <w:pPr>
        <w:pStyle w:val="Lijstalinea"/>
        <w:numPr>
          <w:ilvl w:val="0"/>
          <w:numId w:val="9"/>
        </w:numPr>
      </w:pPr>
      <w:r>
        <w:t xml:space="preserve">Composants de la paroi, de l’extérieur vers l’intérieur :</w:t>
      </w:r>
    </w:p>
    <w:p>
      <w:pPr>
        <w:pStyle w:val="Lijstalinea"/>
        <w:numPr>
          <w:ilvl w:val="1"/>
          <w:numId w:val="9"/>
        </w:numPr>
      </w:pPr>
      <w:r>
        <w:t xml:space="preserve">parement extérieur : plaque de plâtre résistante aux intempéries, renforcée par un mat de fibres de verre ;</w:t>
      </w:r>
    </w:p>
    <w:p>
      <w:pPr>
        <w:pStyle w:val="Lijstalinea"/>
        <w:numPr>
          <w:ilvl w:val="1"/>
          <w:numId w:val="9"/>
        </w:numPr>
      </w:pPr>
      <w:r>
        <w:t xml:space="preserve">montants et lisses basse et haute en bois massif ;</w:t>
      </w:r>
    </w:p>
    <w:p>
      <w:pPr>
        <w:pStyle w:val="Lijstalinea"/>
        <w:numPr>
          <w:ilvl w:val="1"/>
          <w:numId w:val="9"/>
        </w:numPr>
      </w:pPr>
      <w:r>
        <w:t xml:space="preserve">ouate de cellulose insufflée ;</w:t>
      </w:r>
    </w:p>
    <w:p>
      <w:pPr>
        <w:pStyle w:val="Lijstalinea"/>
        <w:numPr>
          <w:ilvl w:val="1"/>
          <w:numId w:val="9"/>
        </w:numPr>
      </w:pPr>
      <w:r>
        <w:t xml:space="preserve">panneau de particules structurel, étanche à l’air et frein-vapeur ;</w:t>
      </w:r>
    </w:p>
    <w:p>
      <w:pPr>
        <w:pStyle w:val="Lijstalinea"/>
        <w:numPr>
          <w:ilvl w:val="1"/>
          <w:numId w:val="9"/>
        </w:numPr>
      </w:pPr>
      <w:r>
        <w:t xml:space="preserve">bande adhésive d’étanchéité à l’air pour les joints de panneaux ;</w:t>
      </w:r>
    </w:p>
    <w:p>
      <w:pPr>
        <w:pStyle w:val="Lijstalinea"/>
        <w:numPr>
          <w:ilvl w:val="1"/>
          <w:numId w:val="9"/>
        </w:numPr>
      </w:pPr>
      <w:r>
        <w:t xml:space="preserve">plaque de plâtre coupe-feu de type DF ;</w:t>
      </w:r>
    </w:p>
    <w:p>
      <w:pPr>
        <w:pStyle w:val="Lijstalinea"/>
        <w:numPr>
          <w:ilvl w:val="1"/>
          <w:numId w:val="9"/>
        </w:numPr>
      </w:pPr>
      <w:r>
        <w:t xml:space="preserve">en option : structure de lattage pour un vide technique.</w:t>
      </w:r>
    </w:p>
    <w:p>
      <w:pPr>
        <w:pStyle w:val="Kop3"/>
        <w:keepNext/>
      </w:pPr>
      <w:r>
        <w:t xml:space="preserve">À propos de cette composition de paroi</w:t>
      </w:r>
    </w:p>
    <w:p>
      <w:pPr>
        <w:pStyle w:val="Lijstalinea"/>
        <w:numPr>
          <w:ilvl w:val="0"/>
          <w:numId w:val="9"/>
        </w:numPr>
      </w:pPr>
      <w:r>
        <w:t xml:space="preserve">La composition de paroi est classée </w:t>
      </w:r>
      <w:r>
        <w:rPr>
          <w:b/>
          <w:bCs/>
        </w:rPr>
        <w:t xml:space="preserve">REI 60 </w:t>
      </w:r>
      <w:r>
        <w:rPr>
          <w:b/>
          <w:bCs/>
          <w:caps w:val="0"/>
        </w:rPr>
        <w:t xml:space="preserve">(o↔i)</w:t>
      </w:r>
      <w:r>
        <w:t xml:space="preserve"> selon la NBN EN 13501-2:2023, dans le rapport de classement 24817B de Warringtonfire Gent (WFRGENT nv), signé le 24/09/2026.</w:t>
      </w:r>
    </w:p>
    <w:p>
      <w:pPr>
        <w:pStyle w:val="Lijstalinea"/>
        <w:numPr>
          <w:ilvl w:val="0"/>
          <w:numId w:val="9"/>
        </w:numPr>
      </w:pPr>
      <w:r>
        <w:t xml:space="preserve">Le classement repose sur deux essais au feu selon la NBN EN 1365-1:2012/AC:2013, avec un sens d’exposition opposé : rapport d’essai 24817A (feu côté extérieur) et 24889A-rev1 (feu côté intérieur). Il est donc valable pour les deux faces du mur porteur.</w:t>
      </w:r>
    </w:p>
    <w:p>
      <w:pPr>
        <w:pStyle w:val="Lijstalinea"/>
        <w:numPr>
          <w:ilvl w:val="0"/>
          <w:numId w:val="9"/>
        </w:numPr>
      </w:pPr>
      <w:r>
        <w:t xml:space="preserve">Outre REI 60 </w:t>
      </w:r>
      <w:r>
        <w:rPr>
          <w:caps w:val="0"/>
        </w:rPr>
        <w:t xml:space="preserve">(o↔i)</w:t>
      </w:r>
      <w:r>
        <w:t xml:space="preserve">, les classements REW 60 </w:t>
      </w:r>
      <w:r>
        <w:rPr>
          <w:caps w:val="0"/>
        </w:rPr>
        <w:t xml:space="preserve">(o↔i)</w:t>
      </w:r>
      <w:r>
        <w:t xml:space="preserve"> et RE 60 </w:t>
      </w:r>
      <w:r>
        <w:rPr>
          <w:caps w:val="0"/>
        </w:rPr>
        <w:t xml:space="preserve">(o↔i)</w:t>
      </w:r>
      <w:r>
        <w:t xml:space="preserve"> sont également attribués, ainsi que les classes inférieures REI 45, 30, 20 et 15.</w:t>
      </w:r>
    </w:p>
    <w:p>
      <w:pPr>
        <w:pStyle w:val="Lijstalinea"/>
        <w:numPr>
          <w:ilvl w:val="0"/>
          <w:numId w:val="9"/>
        </w:numPr>
      </w:pPr>
      <w:r>
        <w:t xml:space="preserve">Le rapport de classement et les rapports d’essai sont disponibles sur demande via technical@isoproc.be.</w:t>
      </w:r>
    </w:p>
    <w:p>
      <w:pPr>
        <w:pStyle w:val="Kop3"/>
        <w:keepNext/>
      </w:pPr>
      <w:r>
        <w:t xml:space="preserve">Menu de sélection avec des liens vers la variante souhaitée</w:t>
      </w:r>
    </w:p>
    <w:p>
      <w:pPr>
        <w:pStyle w:val="Lijstalinea"/>
        <w:numPr>
          <w:ilvl w:val="0"/>
          <w:numId w:val="11"/>
        </w:numPr>
      </w:pPr>
      <w:r>
        <w:t xml:space="preserve">Mur extérieur porteur REI 60 </w:t>
      </w:r>
      <w:r>
        <w:rPr>
          <w:caps w:val="0"/>
        </w:rPr>
        <w:t xml:space="preserve">(o↔i)</w:t>
      </w:r>
      <w:r>
        <w:t xml:space="preserve"> avec ouate de cellulose </w:t>
      </w:r>
      <w:r>
        <w:rPr>
          <w:caps w:val="0"/>
        </w:rPr>
        <w:t xml:space="preserve">iQ3</w:t>
      </w:r>
      <w:r>
        <w:t xml:space="preserve">, Block'Air Particle et plaques de plâtre Siniat.</w:t>
      </w:r>
    </w:p>
    <w:p>
      <w:pPr>
        <w:pStyle w:val="Lijstalinea"/>
        <w:numPr>
          <w:ilvl w:val="1"/>
          <w:numId w:val="11"/>
        </w:numPr>
      </w:pPr>
      <w:hyperlink w:anchor="_REI60_Non_neutre" w:history="1">
        <w:r>
          <w:rPr>
            <w:rStyle w:val="Hyperlink"/>
          </w:rPr>
          <w:t xml:space="preserve">non neutre</w:t>
        </w:r>
      </w:hyperlink>
    </w:p>
    <w:p>
      <w:pPr>
        <w:pStyle w:val="Lijstalinea"/>
        <w:numPr>
          <w:ilvl w:val="1"/>
          <w:numId w:val="11"/>
        </w:numPr>
      </w:pPr>
      <w:hyperlink w:anchor="_REI60_Neutre" w:history="1">
        <w:r>
          <w:rPr>
            <w:rStyle w:val="Hyperlink"/>
          </w:rPr>
          <w:t xml:space="preserve">neutre</w:t>
        </w:r>
      </w:hyperlink>
    </w:p>
    <w:p>
      <w:pPr>
        <w:numPr>
          <w:ilvl w:val="0"/>
          <w:numId w:val="5"/>
        </w:numPr>
        <w:spacing w:before="120" w:after="0"/>
        <w:ind w:left="357" w:hanging="357"/>
        <w:outlineLvl w:val="2"/>
      </w:pPr>
      <w:r>
        <w:rPr>
          <w:caps/>
          <w:color w:val="5D9AA1"/>
          <w:sz w:val="24"/>
        </w:rPr>
        <w:t>explication de l’utilisation des couleurs</w:t>
      </w:r>
    </w:p>
    <w:p>
      <w:pPr>
        <w:pStyle w:val="Lijstalinea"/>
        <w:numPr>
          <w:ilvl w:val="0"/>
          <w:numId w:val="21"/>
        </w:numPr>
      </w:pPr>
      <w:r>
        <w:rPr>
          <w:color w:val="0070C0"/>
        </w:rPr>
        <w:t xml:space="preserve">Le texte en bleu nécessite l’intervention du concepteur. En fonction de la situation,</w:t>
      </w:r>
    </w:p>
    <w:p>
      <w:pPr>
        <w:pStyle w:val="Lijstalinea"/>
        <w:numPr>
          <w:ilvl w:val="1"/>
          <w:numId w:val="21"/>
        </w:numPr>
      </w:pPr>
      <w:r>
        <w:rPr>
          <w:color w:val="0070C0"/>
        </w:rPr>
        <w:t xml:space="preserve">il convient (éventuellement) de supprimer ou compléter des éléments ;</w:t>
      </w:r>
    </w:p>
    <w:p>
      <w:pPr>
        <w:pStyle w:val="Lijstalinea"/>
        <w:numPr>
          <w:ilvl w:val="1"/>
          <w:numId w:val="21"/>
        </w:numPr>
      </w:pPr>
      <w:r>
        <w:rPr>
          <w:color w:val="0070C0"/>
        </w:rPr>
        <w:t xml:space="preserve">un choix doit être fait ;</w:t>
      </w:r>
    </w:p>
    <w:p>
      <w:pPr>
        <w:pStyle w:val="Lijstalinea"/>
        <w:numPr>
          <w:ilvl w:val="1"/>
          <w:numId w:val="21"/>
        </w:numPr>
      </w:pPr>
      <w:r>
        <w:rPr>
          <w:color w:val="0070C0"/>
        </w:rPr>
        <w:t xml:space="preserve">un ajout doit être fait.</w:t>
      </w:r>
    </w:p>
    <w:p>
      <w:pPr>
        <w:pStyle w:val="Lijstalinea"/>
        <w:numPr>
          <w:ilvl w:val="0"/>
          <w:numId w:val="21"/>
        </w:numPr>
      </w:pPr>
      <w:r>
        <w:rPr>
          <w:color w:val="F05133"/>
        </w:rPr>
        <w:t xml:space="preserve">Le texte rouge, généralement sous forme de notes de bas de page, est purement informatif et s’adresse principalement au concepteur.</w:t>
      </w:r>
    </w:p>
    <w:p>
      <w:pPr>
        <w:pStyle w:val="Kop3"/>
      </w:pPr>
      <w:r>
        <w:t xml:space="preserve">Un conseil ou des commentaires ?</w:t>
      </w:r>
    </w:p>
    <w:p>
      <w:pPr>
        <w:pStyle w:val="Hoofdtekst-2019"/>
        <w:numPr>
          <w:ilvl w:val="0"/>
          <w:numId w:val="21"/>
        </w:numPr>
      </w:pPr>
      <w:r>
        <w:t xml:space="preserve">N’hésitez pas à contacter notre helpdesk technique pour de plus amples informations : technical@isoproc.be ; +32 15 62 19 35. Le cas échéant, nous pouvons vous rendre visite dans vos bureaux ou sur votre chantier.</w:t>
      </w:r>
    </w:p>
    <w:p>
      <w:pPr>
        <w:pStyle w:val="Hoofdtekst-2019"/>
        <w:numPr>
          <w:ilvl w:val="0"/>
          <w:numId w:val="21"/>
        </w:numPr>
      </w:pPr>
      <w:r>
        <w:t xml:space="preserve">Les descriptions du cahier des charges ont été rédigées avec le plus grand soin. Pour éviter des discussions ou des surcoûts ultérieurs, elles sont généralement assez étendues et détaillées. Nous vous remercions de vos commentaires et suggestions susceptibles de contribuer à l’amélioration de ce document et de la prescription de nos solutions.</w:t>
      </w:r>
    </w:p>
    <w:p>
      <w:pPr>
        <w:spacing w:before="0" w:after="0"/>
      </w:pPr>
      <w:r>
        <w:br w:type="page"/>
      </w:r>
    </w:p>
    <w:p>
      <w:pPr>
        <w:pStyle w:val="Kop2"/>
        <w:numPr>
          <w:ilvl w:val="0"/>
          <w:numId w:val="0"/>
        </w:numPr>
      </w:pPr>
      <w:bookmarkStart w:id="101" w:name="_REI60_Non_neutre"/>
      <w:bookmarkEnd w:id="101"/>
      <w:r>
        <w:t xml:space="preserve">Mur extérieur REI 60 - cahier des charges </w:t>
      </w:r>
      <w:r>
        <w:rPr>
          <w:u w:val="single"/>
        </w:rPr>
        <w:t xml:space="preserve">non neutre</w:t>
      </w:r>
    </w:p>
    <w:p>
      <w:pPr>
        <w:jc w:val="right"/>
      </w:pPr>
      <w:hyperlink w:anchor="_Cahiers_des_charges" w:history="1">
        <w:r>
          <w:rPr>
            <w:rStyle w:val="Hyperlink"/>
          </w:rPr>
          <w:t>Retour au menu et explications FR</w:t>
        </w:r>
      </w:hyperlink>
    </w:p>
    <w:p>
      <w:pPr>
        <w:pStyle w:val="Kop3"/>
        <w:keepNext/>
      </w:pPr>
      <w:r>
        <w:t xml:space="preserve">Mur extérieur porteur à ossature bois REI 60 </w:t>
      </w:r>
      <w:r>
        <w:rPr>
          <w:caps w:val="0"/>
        </w:rPr>
        <w:t xml:space="preserve">(o↔i)</w:t>
      </w:r>
    </w:p>
    <w:p>
      <w:pPr>
        <w:keepNext/>
        <w:ind w:left="720" w:firstLine="0"/>
      </w:pPr>
      <w:r>
        <w:rPr>
          <w:b/>
          <w:bCs/>
          <w:u w:val="single"/>
        </w:rPr>
        <w:t xml:space="preserve">Description</w:t>
      </w:r>
    </w:p>
    <w:p>
      <w:pPr>
        <w:ind w:left="720" w:firstLine="0"/>
      </w:pPr>
      <w:r>
        <w:t xml:space="preserve">Mur extérieur porteur à ossature bois présentant une résistance au feu REI 60 </w:t>
      </w:r>
      <w:r>
        <w:rPr>
          <w:caps w:val="0"/>
        </w:rPr>
        <w:t xml:space="preserve">(o↔i)</w:t>
      </w:r>
      <w:r>
        <w:t xml:space="preserve">. L’ossature en bois est entièrement remplie, sur toute sa profondeur, de ouate de cellulose insufflée. Elle est revêtue, côté extérieur, d’une plaque de plâtre résistante aux intempéries et, côté intérieur, d’un panneau de particules structurel étanche à l’air et d’une plaque de plâtre coupe-feu.</w:t>
      </w:r>
    </w:p>
    <w:p>
      <w:pPr>
        <w:ind w:left="720" w:firstLine="0"/>
      </w:pPr>
      <w:r>
        <w:t xml:space="preserve">Le panneau de particules, dont tous les joints sont rendus étanches, constitue la couche d’étanchéité à l’air et le frein-vapeur de la paroi. Une membrane intérieure séparée n’est pas nécessaire.</w:t>
      </w:r>
    </w:p>
    <w:p>
      <w:pPr>
        <w:keepNext/>
        <w:ind w:left="720" w:firstLine="0"/>
      </w:pPr>
      <w:r>
        <w:rPr>
          <w:b/>
          <w:bCs/>
          <w:u w:val="single"/>
        </w:rPr>
        <w:t xml:space="preserve">Matériel</w:t>
      </w:r>
    </w:p>
    <w:p>
      <w:pPr>
        <w:keepNext/>
        <w:ind w:left="720" w:firstLine="0"/>
      </w:pPr>
      <w:r>
        <w:rPr>
          <w:b/>
          <w:bCs/>
          <w:u w:val="single"/>
        </w:rPr>
        <w:t xml:space="preserve">Mur extérieur REI 60 avec ouate de cellulose </w:t>
      </w:r>
      <w:r>
        <w:rPr>
          <w:b/>
          <w:bCs/>
          <w:caps w:val="0"/>
          <w:u w:val="single"/>
        </w:rPr>
        <w:t xml:space="preserve">iQ3</w:t>
      </w:r>
      <w:r>
        <w:rPr>
          <w:b/>
          <w:bCs/>
          <w:u w:val="single"/>
        </w:rPr>
        <w:t xml:space="preserve"> et Block'Air Particle (ISOPROC)</w:t>
      </w:r>
    </w:p>
    <w:p>
      <w:pPr>
        <w:ind w:left="720" w:firstLine="0"/>
      </w:pPr>
      <w:r>
        <w:t xml:space="preserve">Composition de la paroi, de l’extérieur vers l’intérieur :</w:t>
      </w:r>
    </w:p>
    <w:p>
      <w:pPr>
        <w:pStyle w:val="Lijstalinea"/>
        <w:numPr>
          <w:ilvl w:val="0"/>
          <w:numId w:val="9"/>
        </w:numPr>
      </w:pPr>
      <w:r>
        <w:t xml:space="preserve">Parement extérieur selon l’article « Parement extérieur » : Siniat Weather Defence ; épaisseur : 12,5 mm.</w:t>
      </w:r>
    </w:p>
    <w:p>
      <w:pPr>
        <w:pStyle w:val="Lijstalinea"/>
        <w:numPr>
          <w:ilvl w:val="0"/>
          <w:numId w:val="9"/>
        </w:numPr>
      </w:pPr>
      <w:r>
        <w:t xml:space="preserve">Montants selon l’article « Montants » : bois massif aboudé KVH en épicéa C24 ; section : min. 45 × 180 mm ; entraxe : max. 400 mm.</w:t>
      </w:r>
    </w:p>
    <w:p>
      <w:pPr>
        <w:pStyle w:val="Lijstalinea"/>
        <w:numPr>
          <w:ilvl w:val="0"/>
          <w:numId w:val="9"/>
        </w:numPr>
      </w:pPr>
      <w:r>
        <w:t xml:space="preserve">Lisses basse et haute selon l’article « Lisses basse et haute ».</w:t>
      </w:r>
    </w:p>
    <w:p>
      <w:pPr>
        <w:pStyle w:val="Lijstalinea"/>
        <w:numPr>
          <w:ilvl w:val="0"/>
          <w:numId w:val="9"/>
        </w:numPr>
      </w:pPr>
      <w:r>
        <w:t xml:space="preserve">Isolation dans l’ossature selon l’article « Isolation » : ouate de cellulose </w:t>
      </w:r>
      <w:r>
        <w:rPr>
          <w:caps w:val="0"/>
        </w:rPr>
        <w:t xml:space="preserve">iQ3</w:t>
      </w:r>
      <w:r>
        <w:t xml:space="preserve"> insufflée ; épaisseur : toute la profondeur des montants, min. 180 mm ; masse volumique : min. 50 </w:t>
      </w:r>
      <w:r>
        <w:rPr>
          <w:caps w:val="0"/>
        </w:rPr>
        <w:t xml:space="preserve">kg/m³</w:t>
      </w:r>
      <w:r>
        <w:t xml:space="preserve">.</w:t>
      </w:r>
    </w:p>
    <w:p>
      <w:pPr>
        <w:pStyle w:val="Lijstalinea"/>
        <w:numPr>
          <w:ilvl w:val="0"/>
          <w:numId w:val="9"/>
        </w:numPr>
      </w:pPr>
      <w:r>
        <w:t xml:space="preserve">Membrane intérieure (pare-vapeur ou frein-vapeur) : sans objet. L’étanchéité à l’air et le frein-vapeur sont assurés par le parement intérieur 1, dont tous les joints sont rendus étanches selon l’article « Bande adhésive ».</w:t>
      </w:r>
    </w:p>
    <w:p>
      <w:pPr>
        <w:pStyle w:val="Lijstalinea"/>
        <w:numPr>
          <w:ilvl w:val="0"/>
          <w:numId w:val="9"/>
        </w:numPr>
      </w:pPr>
      <w:r>
        <w:t xml:space="preserve">Parement intérieur 1 selon l’article « Parement intérieur 1 » : Block'Air Particle ; épaisseur : </w:t>
      </w:r>
      <w:r>
        <w:rPr>
          <w:color w:val="0070C0"/>
        </w:rPr>
        <w:t xml:space="preserve">12 / 13 mm</w:t>
      </w:r>
      <w:r>
        <w:t xml:space="preserve">.</w:t>
      </w:r>
      <w:r>
        <w:rPr>
          <w:rStyle w:val="Voetnootmarkering"/>
          <w:color w:val="F05133"/>
        </w:rPr>
        <w:footnoteReference w:id="2"/>
      </w:r>
    </w:p>
    <w:p>
      <w:pPr>
        <w:pStyle w:val="Lijstalinea"/>
        <w:numPr>
          <w:ilvl w:val="0"/>
          <w:numId w:val="9"/>
        </w:numPr>
      </w:pPr>
      <w:r>
        <w:t xml:space="preserve">Parement intérieur 2 selon l’article « Parement intérieur 2 » : Siniat Prégyflam, type DF ; épaisseur : 15 mm.</w:t>
      </w:r>
    </w:p>
    <w:p>
      <w:pPr>
        <w:pStyle w:val="Lijstalinea"/>
        <w:numPr>
          <w:ilvl w:val="0"/>
          <w:numId w:val="9"/>
        </w:numPr>
      </w:pPr>
      <w:r>
        <w:t xml:space="preserve">Épaisseur de la paroi (sans bardage ni vide technique) : min. 220 mm / </w:t>
      </w:r>
      <w:r>
        <w:rPr>
          <w:color w:val="0070C0"/>
        </w:rPr>
        <w:t xml:space="preserve">voir plans</w:t>
      </w:r>
      <w:r>
        <w:t xml:space="preserve">.</w:t>
      </w:r>
    </w:p>
    <w:p>
      <w:pPr>
        <w:pStyle w:val="Lijstalinea"/>
        <w:numPr>
          <w:ilvl w:val="0"/>
          <w:numId w:val="9"/>
        </w:numPr>
      </w:pPr>
      <w:r>
        <w:t xml:space="preserve">Valeur U de la paroi : max. </w:t>
      </w:r>
      <w:r>
        <w:rPr>
          <w:color w:val="0070C0"/>
        </w:rPr>
        <w:t xml:space="preserve">…</w:t>
      </w:r>
      <w:r>
        <w:t xml:space="preserve"> </w:t>
      </w:r>
      <w:r>
        <w:rPr>
          <w:caps w:val="0"/>
        </w:rPr>
        <w:t xml:space="preserve">W/(m²·K)</w:t>
      </w:r>
      <w:r>
        <w:t xml:space="preserve">.</w:t>
      </w:r>
    </w:p>
    <w:p>
      <w:pPr>
        <w:keepNext/>
        <w:ind w:left="720" w:firstLine="0"/>
      </w:pPr>
      <w:r>
        <w:rPr>
          <w:u w:val="single"/>
        </w:rPr>
        <w:t xml:space="preserve">Performances</w:t>
      </w:r>
    </w:p>
    <w:p>
      <w:pPr>
        <w:pStyle w:val="Lijstalinea"/>
        <w:numPr>
          <w:ilvl w:val="0"/>
          <w:numId w:val="9"/>
        </w:numPr>
      </w:pPr>
      <w:r>
        <w:t xml:space="preserve">Résistance au feu selon la NBN EN 13501-2:2023 : </w:t>
      </w:r>
      <w:r>
        <w:rPr>
          <w:b/>
          <w:bCs/>
        </w:rPr>
        <w:t xml:space="preserve">REI 60 </w:t>
      </w:r>
      <w:r>
        <w:rPr>
          <w:b/>
          <w:bCs/>
          <w:caps w:val="0"/>
        </w:rPr>
        <w:t xml:space="preserve">(o↔i)</w:t>
      </w:r>
      <w:r>
        <w:t xml:space="preserve">, ainsi que REW 60 </w:t>
      </w:r>
      <w:r>
        <w:rPr>
          <w:caps w:val="0"/>
        </w:rPr>
        <w:t xml:space="preserve">(o↔i)</w:t>
      </w:r>
      <w:r>
        <w:t xml:space="preserve"> et RE 60 </w:t>
      </w:r>
      <w:r>
        <w:rPr>
          <w:caps w:val="0"/>
        </w:rPr>
        <w:t xml:space="preserve">(o↔i)</w:t>
      </w:r>
      <w:r>
        <w:t xml:space="preserve">. Le classement est valable en cas d’incendie côté extérieur comme côté intérieur.</w:t>
      </w:r>
      <w:r>
        <w:rPr>
          <w:rStyle w:val="Voetnootmarkering"/>
          <w:color w:val="F05133"/>
        </w:rPr>
        <w:footnoteReference w:id="3"/>
      </w:r>
    </w:p>
    <w:p>
      <w:pPr>
        <w:pStyle w:val="Lijstalinea"/>
        <w:numPr>
          <w:ilvl w:val="0"/>
          <w:numId w:val="9"/>
        </w:numPr>
      </w:pPr>
      <w:r>
        <w:t xml:space="preserve">Avant le début des travaux, l’entrepreneur remet une copie du rapport de classement 24817B et exécute la paroi conformément à la composition et aux conditions de pose qui y sont décrites.</w:t>
      </w:r>
    </w:p>
    <w:p>
      <w:pPr>
        <w:pStyle w:val="Lijstalinea"/>
        <w:numPr>
          <w:ilvl w:val="0"/>
          <w:numId w:val="9"/>
        </w:numPr>
      </w:pPr>
      <w:r>
        <w:t xml:space="preserve">La paroi exécutée reste dans le domaine d’application directe (direct field of application) du classement :</w:t>
      </w:r>
      <w:r>
        <w:rPr>
          <w:rStyle w:val="Voetnootmarkering"/>
          <w:color w:val="F05133"/>
        </w:rPr>
        <w:footnoteReference w:id="4"/>
      </w:r>
    </w:p>
    <w:p>
      <w:pPr>
        <w:pStyle w:val="Lijstalinea"/>
        <w:numPr>
          <w:ilvl w:val="1"/>
          <w:numId w:val="9"/>
        </w:numPr>
      </w:pPr>
      <w:r>
        <w:t xml:space="preserve">hauteur de paroi : max. 3.000 mm ; largeur de paroi : illimitée ;</w:t>
      </w:r>
    </w:p>
    <w:p>
      <w:pPr>
        <w:pStyle w:val="Lijstalinea"/>
        <w:numPr>
          <w:ilvl w:val="1"/>
          <w:numId w:val="9"/>
        </w:numPr>
      </w:pPr>
      <w:r>
        <w:t xml:space="preserve">épaisseur de paroi : min. 220 mm ; profondeur des montants et épaisseur d’isolation : min. 180 mm ;</w:t>
      </w:r>
    </w:p>
    <w:p>
      <w:pPr>
        <w:pStyle w:val="Lijstalinea"/>
        <w:numPr>
          <w:ilvl w:val="1"/>
          <w:numId w:val="9"/>
        </w:numPr>
      </w:pPr>
      <w:r>
        <w:t xml:space="preserve">entraxe des montants : max. 400 mm ;</w:t>
      </w:r>
    </w:p>
    <w:p>
      <w:pPr>
        <w:pStyle w:val="Lijstalinea"/>
        <w:numPr>
          <w:ilvl w:val="1"/>
          <w:numId w:val="9"/>
        </w:numPr>
      </w:pPr>
      <w:r>
        <w:t xml:space="preserve">épaisseurs des panneaux : pas inférieures à celles testées ; dimensions des panneaux et entraxes de fixation : pas supérieurs à ceux testés (voir les articles des panneaux) ; le nombre de joints horizontaux peut augmenter ;</w:t>
      </w:r>
    </w:p>
    <w:p>
      <w:pPr>
        <w:pStyle w:val="Lijstalinea"/>
        <w:numPr>
          <w:ilvl w:val="1"/>
          <w:numId w:val="9"/>
        </w:numPr>
      </w:pPr>
      <w:r>
        <w:t xml:space="preserve">charge axiale uniformément répartie : max. 40 kN/m ou max. 4.077 kg/m.</w:t>
      </w:r>
      <w:r>
        <w:rPr>
          <w:rStyle w:val="Voetnootmarkering"/>
          <w:color w:val="F05133"/>
        </w:rPr>
        <w:footnoteReference w:id="5"/>
      </w:r>
    </w:p>
    <w:p>
      <w:pPr>
        <w:keepNext/>
        <w:ind w:left="720" w:firstLine="0"/>
      </w:pPr>
      <w:r>
        <w:rPr>
          <w:b/>
          <w:bCs/>
          <w:u w:val="single"/>
        </w:rPr>
        <w:t xml:space="preserve">Spécifications complémentaires </w:t>
      </w:r>
      <w:r>
        <w:rPr>
          <w:b/>
          <w:bCs/>
          <w:color w:val="0070C0"/>
          <w:u w:val="single"/>
        </w:rPr>
        <w:t xml:space="preserve">(à supprimer par le concepteur si non applicable)</w:t>
      </w:r>
    </w:p>
    <w:p>
      <w:pPr>
        <w:pStyle w:val="Lijstalinea"/>
        <w:numPr>
          <w:ilvl w:val="0"/>
          <w:numId w:val="9"/>
        </w:numPr>
      </w:pPr>
      <w:r>
        <w:rPr>
          <w:color w:val="0070C0"/>
        </w:rPr>
        <w:t xml:space="preserve">Un vide technique est prévu. Côté intérieur, les éléments suivants sont encore prévus contre la composition décrite ci-dessus :</w:t>
      </w:r>
      <w:r>
        <w:rPr>
          <w:rStyle w:val="Voetnootmarkering"/>
          <w:color w:val="F05133"/>
        </w:rPr>
        <w:footnoteReference w:id="6"/>
      </w:r>
    </w:p>
    <w:p>
      <w:pPr>
        <w:pStyle w:val="Lijstalinea"/>
        <w:numPr>
          <w:ilvl w:val="1"/>
          <w:numId w:val="9"/>
        </w:numPr>
      </w:pPr>
      <w:r>
        <w:rPr>
          <w:color w:val="0070C0"/>
        </w:rPr>
        <w:t xml:space="preserve">Structure de lattage pour la finition intérieure selon l’article « Vide technique » : bois ; profondeur : … mm.</w:t>
      </w:r>
    </w:p>
    <w:p>
      <w:pPr>
        <w:pStyle w:val="Lijstalinea"/>
        <w:numPr>
          <w:ilvl w:val="1"/>
          <w:numId w:val="9"/>
        </w:numPr>
      </w:pPr>
      <w:r>
        <w:rPr>
          <w:color w:val="0070C0"/>
        </w:rPr>
        <w:t xml:space="preserve">Parement : plaque de plâtre / plaque de plâtre renforcée de fibres / … ; épaisseur : … mm.</w:t>
      </w:r>
    </w:p>
    <w:p>
      <w:pPr>
        <w:pStyle w:val="Lijstalinea"/>
        <w:numPr>
          <w:ilvl w:val="0"/>
          <w:numId w:val="9"/>
        </w:numPr>
      </w:pPr>
      <w:r>
        <w:rPr>
          <w:color w:val="0070C0"/>
        </w:rPr>
        <w:t xml:space="preserve">Finition de façade : système de bardage ventilé selon le chapitre … / …</w:t>
      </w:r>
      <w:r>
        <w:t xml:space="preserve">.</w:t>
      </w:r>
      <w:r>
        <w:rPr>
          <w:rStyle w:val="Voetnootmarkering"/>
          <w:color w:val="F05133"/>
        </w:rPr>
        <w:footnoteReference w:id="7"/>
      </w:r>
    </w:p>
    <w:p>
      <w:pPr>
        <w:keepNext/>
        <w:ind w:left="720" w:firstLine="0"/>
      </w:pPr>
      <w:r>
        <w:rPr>
          <w:b/>
          <w:bCs/>
          <w:u w:val="single"/>
        </w:rPr>
        <w:t xml:space="preserve">Mise en œuvre</w:t>
      </w:r>
    </w:p>
    <w:p>
      <w:pPr>
        <w:pStyle w:val="Lijstalinea"/>
        <w:numPr>
          <w:ilvl w:val="0"/>
          <w:numId w:val="9"/>
        </w:numPr>
      </w:pPr>
      <w:r>
        <w:t xml:space="preserve">Les dispositions des STS 23-1 Constructions à ossature en bois sont d’application.</w:t>
      </w:r>
    </w:p>
    <w:p>
      <w:pPr>
        <w:pStyle w:val="Lijstalinea"/>
        <w:numPr>
          <w:ilvl w:val="0"/>
          <w:numId w:val="9"/>
        </w:numPr>
      </w:pPr>
      <w:r>
        <w:t xml:space="preserve">La paroi est exécutée selon la composition décrite, avec les moyens de fixation et les entraxes ci-dessous. Cette fixation fait partie de l’ensemble testé et ne relève donc pas du libre choix de l’entrepreneur.</w:t>
      </w:r>
    </w:p>
    <w:p>
      <w:pPr>
        <w:pStyle w:val="Lijstalinea"/>
        <w:numPr>
          <w:ilvl w:val="1"/>
          <w:numId w:val="9"/>
        </w:numPr>
      </w:pPr>
      <w:r>
        <w:t xml:space="preserve">parement extérieur : agrafes en acier, 1,5 × 50 mm, largeur du dos 11 mm ; entraxe max. 100 mm sur les bords et au centre du panneau ;</w:t>
      </w:r>
    </w:p>
    <w:p>
      <w:pPr>
        <w:pStyle w:val="Lijstalinea"/>
        <w:numPr>
          <w:ilvl w:val="1"/>
          <w:numId w:val="9"/>
        </w:numPr>
      </w:pPr>
      <w:r>
        <w:t xml:space="preserve">parement intérieur 1 : agrafes en acier, 1,5 × 50 mm, largeur du dos 11 mm ; entraxe max. 150 mm sur les bords et max. 300 mm au centre du panneau ;</w:t>
      </w:r>
    </w:p>
    <w:p>
      <w:pPr>
        <w:pStyle w:val="Lijstalinea"/>
        <w:numPr>
          <w:ilvl w:val="1"/>
          <w:numId w:val="9"/>
        </w:numPr>
      </w:pPr>
      <w:r>
        <w:t xml:space="preserve">parement intérieur 2 : agrafes en acier, 1,4 × 55 mm, largeur du dos 11,2 mm ; entraxe max. 100 mm sur les bords verticaux et max. 200 mm au centre du panneau ;</w:t>
      </w:r>
    </w:p>
    <w:p>
      <w:pPr>
        <w:pStyle w:val="Lijstalinea"/>
        <w:numPr>
          <w:ilvl w:val="1"/>
          <w:numId w:val="9"/>
        </w:numPr>
      </w:pPr>
      <w:r>
        <w:t xml:space="preserve">montants aux lisses basse et haute : selon l’étude de stabilité.</w:t>
      </w:r>
      <w:r>
        <w:rPr>
          <w:rStyle w:val="Voetnootmarkering"/>
          <w:color w:val="F05133"/>
        </w:rPr>
        <w:footnoteReference w:id="8"/>
      </w:r>
    </w:p>
    <w:p>
      <w:pPr>
        <w:pStyle w:val="Lijstalinea"/>
        <w:numPr>
          <w:ilvl w:val="0"/>
          <w:numId w:val="9"/>
        </w:numPr>
      </w:pPr>
      <w:r>
        <w:t xml:space="preserve">Les joints verticaux de tous les parements se situent au droit d’un montant. Les joints du parement intérieur 1 et du parement intérieur 2 sont décalés les uns par rapport aux autres.</w:t>
      </w:r>
    </w:p>
    <w:p>
      <w:pPr>
        <w:pStyle w:val="Lijstalinea"/>
        <w:numPr>
          <w:ilvl w:val="0"/>
          <w:numId w:val="9"/>
        </w:numPr>
      </w:pPr>
      <w:r>
        <w:t xml:space="preserve">Les joints des plaques de plâtre sont finis selon le degré de finition demandé.</w:t>
      </w:r>
      <w:r>
        <w:rPr>
          <w:rStyle w:val="Voetnootmarkering"/>
          <w:color w:val="F05133"/>
        </w:rPr>
        <w:footnoteReference w:id="9"/>
      </w:r>
    </w:p>
    <w:p>
      <w:pPr>
        <w:pStyle w:val="Lijstalinea"/>
        <w:numPr>
          <w:ilvl w:val="0"/>
          <w:numId w:val="9"/>
        </w:numPr>
      </w:pPr>
      <w:r>
        <w:t xml:space="preserve">Le système de bardage est fixé dans les montants, à travers le parement extérieur. Il n’est pas ancré uniquement dans le parement extérieur ou dans l’isolation.</w:t>
      </w:r>
    </w:p>
    <w:p>
      <w:pPr>
        <w:pStyle w:val="Lijstalinea"/>
        <w:numPr>
          <w:ilvl w:val="0"/>
          <w:numId w:val="9"/>
        </w:numPr>
      </w:pPr>
      <w:r>
        <w:t xml:space="preserve">Les traversées de la paroi sont rendues étanches au feu à l’aide de produits testés à cet effet dans une paroi légère, selon les prescriptions de leur fabricant.</w:t>
      </w:r>
    </w:p>
    <w:p>
      <w:pPr>
        <w:pStyle w:val="Lijstalinea"/>
        <w:numPr>
          <w:ilvl w:val="0"/>
          <w:numId w:val="9"/>
        </w:numPr>
      </w:pPr>
      <w:r>
        <w:t xml:space="preserve">Lorsque la paroi est préfabriquée en atelier, l’entrepreneur protège les éléments contre l’humidité et les dommages pendant le transport, le stockage et le montage. Les panneaux endommagés sont remplacés.</w:t>
      </w:r>
    </w:p>
    <w:p>
      <w:pPr>
        <w:keepNext/>
        <w:ind w:left="720" w:firstLine="0"/>
      </w:pPr>
      <w:r>
        <w:rPr>
          <w:b/>
          <w:bCs/>
          <w:u w:val="single"/>
        </w:rPr>
        <w:t xml:space="preserve">Mesure</w:t>
      </w:r>
    </w:p>
    <w:p>
      <w:pPr>
        <w:pStyle w:val="Lijstalinea"/>
        <w:numPr>
          <w:ilvl w:val="0"/>
          <w:numId w:val="9"/>
        </w:numPr>
      </w:pPr>
      <w:r>
        <w:t xml:space="preserve">Unité de mesure : </w:t>
      </w:r>
      <w:r>
        <w:rPr>
          <w:caps w:val="0"/>
        </w:rPr>
        <w:t xml:space="preserve">m²</w:t>
      </w:r>
      <w:r>
        <w:t xml:space="preserve">.</w:t>
      </w:r>
    </w:p>
    <w:p>
      <w:pPr>
        <w:pStyle w:val="Lijstalinea"/>
        <w:numPr>
          <w:ilvl w:val="0"/>
          <w:numId w:val="9"/>
        </w:numPr>
      </w:pPr>
      <w:r>
        <w:t xml:space="preserve">Code de mesurage : surface nette ; les ouvertures inférieures à 0,5 </w:t>
      </w:r>
      <w:r>
        <w:rPr>
          <w:caps w:val="0"/>
        </w:rPr>
        <w:t xml:space="preserve">m²</w:t>
      </w:r>
      <w:r>
        <w:t xml:space="preserve"> ne sont pas déduites. Sont compris : toutes les couches de la composition de paroi, l’isolation, la bande adhésive sur les joints de panneaux, tous les moyens de fixation, la fermeture des orifices d’insufflation, l’éventuelle préfabrication et le montage, ainsi que les mesures de protection.</w:t>
      </w:r>
    </w:p>
    <w:p>
      <w:pPr>
        <w:pStyle w:val="Lijstalinea"/>
        <w:numPr>
          <w:ilvl w:val="0"/>
          <w:numId w:val="9"/>
        </w:numPr>
      </w:pPr>
      <w:r>
        <w:t xml:space="preserve">Nature du marché : quantité forfaitaire (QF).</w:t>
      </w:r>
    </w:p>
    <w:p>
      <w:pPr>
        <w:keepNext/>
        <w:ind w:left="720" w:firstLine="0"/>
      </w:pPr>
      <w:r>
        <w:rPr>
          <w:b/>
          <w:bCs/>
          <w:u w:val="single"/>
        </w:rPr>
        <w:t xml:space="preserve">Application / localisation</w:t>
      </w:r>
    </w:p>
    <w:p>
      <w:pPr>
        <w:ind w:left="720" w:firstLine="0"/>
      </w:pPr>
      <w:r>
        <w:rPr>
          <w:color w:val="0070C0"/>
        </w:rPr>
        <w:t xml:space="preserve">Tous les murs extérieurs porteurs soumis à une exigence de résistance au feu REI 60 / … selon les plans / ….</w:t>
      </w:r>
    </w:p>
    <w:p>
      <w:pPr>
        <w:pStyle w:val="Kop3"/>
        <w:keepNext/>
      </w:pPr>
      <w:r>
        <w:t xml:space="preserve">Parement extérieur - plaque de plâtre renforcée par un mat de fibres de verre</w:t>
      </w:r>
    </w:p>
    <w:p>
      <w:pPr>
        <w:keepNext/>
        <w:ind w:left="720" w:firstLine="0"/>
      </w:pPr>
      <w:r>
        <w:rPr>
          <w:b/>
          <w:bCs/>
          <w:u w:val="single"/>
        </w:rPr>
        <w:t xml:space="preserve">Description</w:t>
      </w:r>
    </w:p>
    <w:p>
      <w:pPr>
        <w:ind w:left="720" w:firstLine="0"/>
      </w:pPr>
      <w:r>
        <w:t xml:space="preserve">Plaque de plâtre résistante aux intempéries utilisée comme parement extérieur de la paroi à ossature bois. La plaque constitue la couche étanche au vent et protège la paroi contre les intempéries pendant la phase de construction, jusqu’à la pose du bardage.</w:t>
      </w:r>
    </w:p>
    <w:p>
      <w:pPr>
        <w:keepNext/>
        <w:ind w:left="720" w:firstLine="0"/>
      </w:pPr>
      <w:r>
        <w:rPr>
          <w:b/>
          <w:bCs/>
          <w:u w:val="single"/>
        </w:rPr>
        <w:t xml:space="preserve">Matériel</w:t>
      </w:r>
    </w:p>
    <w:p>
      <w:pPr>
        <w:keepNext/>
        <w:ind w:left="720" w:firstLine="0"/>
      </w:pPr>
      <w:r>
        <w:rPr>
          <w:b/>
          <w:bCs/>
          <w:u w:val="single"/>
        </w:rPr>
        <w:t xml:space="preserve">Siniat Weather Defence</w:t>
      </w:r>
    </w:p>
    <w:p>
      <w:pPr>
        <w:pStyle w:val="Lijstalinea"/>
        <w:numPr>
          <w:ilvl w:val="0"/>
          <w:numId w:val="9"/>
        </w:numPr>
      </w:pPr>
      <w:r>
        <w:t xml:space="preserve">Plaque de plâtre hydrofugée, renforcée sur les deux faces par un mat de fibres de verre, conforme à la NBN EN 15283-1 (plaques de plâtre armées de mat), avec marquage CE et déclaration des performances (DoP).</w:t>
      </w:r>
    </w:p>
    <w:p>
      <w:pPr>
        <w:keepNext/>
        <w:ind w:left="720" w:firstLine="0"/>
      </w:pPr>
      <w:r>
        <w:rPr>
          <w:u w:val="single"/>
        </w:rPr>
        <w:t xml:space="preserve">Spécifications</w:t>
      </w:r>
    </w:p>
    <w:p>
      <w:pPr>
        <w:pStyle w:val="Lijstalinea"/>
        <w:numPr>
          <w:ilvl w:val="0"/>
          <w:numId w:val="9"/>
        </w:numPr>
      </w:pPr>
      <w:r>
        <w:t xml:space="preserve">Type (selon la NBN EN 15283-1) : GM-F-H1-I-R.</w:t>
      </w:r>
    </w:p>
    <w:p>
      <w:pPr>
        <w:pStyle w:val="Lijstalinea"/>
        <w:numPr>
          <w:ilvl w:val="0"/>
          <w:numId w:val="9"/>
        </w:numPr>
      </w:pPr>
      <w:r>
        <w:t xml:space="preserve">Réaction au feu (selon la NBN EN 13501-1) : A1.</w:t>
      </w:r>
    </w:p>
    <w:p>
      <w:pPr>
        <w:pStyle w:val="Lijstalinea"/>
        <w:numPr>
          <w:ilvl w:val="0"/>
          <w:numId w:val="9"/>
        </w:numPr>
      </w:pPr>
      <w:r>
        <w:t xml:space="preserve">Épaisseur : 12,5 mm.</w:t>
      </w:r>
    </w:p>
    <w:p>
      <w:pPr>
        <w:pStyle w:val="Lijstalinea"/>
        <w:numPr>
          <w:ilvl w:val="0"/>
          <w:numId w:val="9"/>
        </w:numPr>
      </w:pPr>
      <w:r>
        <w:t xml:space="preserve">Dimensions : largeur max. 1.200 mm ; longueur max. 2.400 mm.</w:t>
      </w:r>
      <w:r>
        <w:rPr>
          <w:rStyle w:val="Voetnootmarkering"/>
          <w:color w:val="F05133"/>
        </w:rPr>
        <w:footnoteReference w:id="10"/>
      </w:r>
    </w:p>
    <w:p>
      <w:pPr>
        <w:pStyle w:val="Lijstalinea"/>
        <w:numPr>
          <w:ilvl w:val="0"/>
          <w:numId w:val="9"/>
        </w:numPr>
      </w:pPr>
      <w:r>
        <w:t xml:space="preserve">Finition des bords : bords droits.</w:t>
      </w:r>
    </w:p>
    <w:p>
      <w:pPr>
        <w:pStyle w:val="Lijstalinea"/>
        <w:numPr>
          <w:ilvl w:val="0"/>
          <w:numId w:val="9"/>
        </w:numPr>
      </w:pPr>
      <w:r>
        <w:t xml:space="preserve">Masse volumique nominale : 860 </w:t>
      </w:r>
      <w:r>
        <w:rPr>
          <w:caps w:val="0"/>
        </w:rPr>
        <w:t xml:space="preserve">kg/m³</w:t>
      </w:r>
      <w:r>
        <w:t xml:space="preserve"> ; poids : env. 10,8 kg/</w:t>
      </w:r>
      <w:r>
        <w:rPr>
          <w:caps w:val="0"/>
        </w:rPr>
        <w:t xml:space="preserve">m²</w:t>
      </w:r>
      <w:r>
        <w:t xml:space="preserve">.</w:t>
      </w:r>
    </w:p>
    <w:p>
      <w:pPr>
        <w:pStyle w:val="Lijstalinea"/>
        <w:numPr>
          <w:ilvl w:val="0"/>
          <w:numId w:val="9"/>
        </w:numPr>
      </w:pPr>
      <w:r>
        <w:t xml:space="preserve">Absorption d’eau (2 h) : &lt; 3 % ; absorption d’eau en surface : &lt; 100 g/</w:t>
      </w:r>
      <w:r>
        <w:rPr>
          <w:caps w:val="0"/>
        </w:rPr>
        <w:t xml:space="preserve">m²</w:t>
      </w:r>
      <w:r>
        <w:t xml:space="preserve">.</w:t>
      </w:r>
    </w:p>
    <w:p>
      <w:pPr>
        <w:pStyle w:val="Lijstalinea"/>
        <w:numPr>
          <w:ilvl w:val="0"/>
          <w:numId w:val="9"/>
        </w:numPr>
      </w:pPr>
      <w:r>
        <w:t xml:space="preserve">Épaisseur équivalente de la couche d’air sd : 0,12 m (ouverte à la diffusion de vapeur vers l’extérieur).</w:t>
      </w:r>
    </w:p>
    <w:p>
      <w:pPr>
        <w:pStyle w:val="Lijstalinea"/>
        <w:numPr>
          <w:ilvl w:val="0"/>
          <w:numId w:val="9"/>
        </w:numPr>
      </w:pPr>
      <w:r>
        <w:t xml:space="preserve">Capacité de protection contre l’incendie (selon la NBN EN 14135) : K2 10.</w:t>
      </w:r>
    </w:p>
    <w:p>
      <w:pPr>
        <w:keepNext/>
        <w:ind w:left="720" w:firstLine="0"/>
      </w:pPr>
      <w:r>
        <w:rPr>
          <w:b/>
          <w:bCs/>
          <w:u w:val="single"/>
        </w:rPr>
        <w:t xml:space="preserve">Mise en œuvre</w:t>
      </w:r>
    </w:p>
    <w:p>
      <w:pPr>
        <w:pStyle w:val="Lijstalinea"/>
        <w:numPr>
          <w:ilvl w:val="0"/>
          <w:numId w:val="9"/>
        </w:numPr>
      </w:pPr>
      <w:r>
        <w:t xml:space="preserve">Les plaques sont posées selon les prescriptions du fabricant et fixées comme décrit à l’article « Mur extérieur porteur à ossature bois REI 60 </w:t>
      </w:r>
      <w:r>
        <w:rPr>
          <w:caps w:val="0"/>
        </w:rPr>
        <w:t xml:space="preserve">(o↔i)</w:t>
      </w:r>
      <w:r>
        <w:t xml:space="preserve"> » : agrafes 1,5 × 50 mm, largeur du dos 11 mm, entraxe max. 100 mm sur les bords et au centre du panneau.</w:t>
      </w:r>
    </w:p>
    <w:p>
      <w:pPr>
        <w:pStyle w:val="Lijstalinea"/>
        <w:numPr>
          <w:ilvl w:val="0"/>
          <w:numId w:val="9"/>
        </w:numPr>
      </w:pPr>
      <w:r>
        <w:t xml:space="preserve">La fixation respecte une distance au bord suffisante (min. 11 mm) pour éviter l’arrachement de la plaque, en particulier lors de l’insufflation de l’isolation (voir l’article « Isolation »).</w:t>
      </w:r>
      <w:r>
        <w:rPr>
          <w:rStyle w:val="Voetnootmarkering"/>
          <w:color w:val="F05133"/>
        </w:rPr>
        <w:footnoteReference w:id="11"/>
      </w:r>
    </w:p>
    <w:p>
      <w:pPr>
        <w:pStyle w:val="Lijstalinea"/>
        <w:numPr>
          <w:ilvl w:val="0"/>
          <w:numId w:val="9"/>
        </w:numPr>
      </w:pPr>
      <w:r>
        <w:rPr>
          <w:color w:val="0070C0"/>
        </w:rPr>
        <w:t xml:space="preserve">Si la plaque reste exposée aux intempéries avant la pose du bardage, les joints sont rendus étanches avec </w:t>
      </w:r>
      <w:r>
        <w:rPr>
          <w:color w:val="0070C0"/>
        </w:rPr>
        <w:t xml:space="preserve">pro clima TESCON VANA.</w:t>
      </w:r>
      <w:r>
        <w:rPr>
          <w:rStyle w:val="Voetnootmarkering"/>
          <w:color w:val="F05133"/>
        </w:rPr>
        <w:footnoteReference w:id="12"/>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Parement extérieur du mur extérieur REI 60.</w:t>
      </w:r>
    </w:p>
    <w:p>
      <w:pPr>
        <w:pStyle w:val="Kop3"/>
        <w:keepNext/>
      </w:pPr>
      <w:r>
        <w:t xml:space="preserve">Montants - bois massif</w:t>
      </w:r>
    </w:p>
    <w:p>
      <w:pPr>
        <w:keepNext/>
        <w:ind w:left="720" w:firstLine="0"/>
      </w:pPr>
      <w:r>
        <w:rPr>
          <w:b/>
          <w:bCs/>
          <w:u w:val="single"/>
        </w:rPr>
        <w:t xml:space="preserve">Description</w:t>
      </w:r>
    </w:p>
    <w:p>
      <w:pPr>
        <w:ind w:left="720" w:firstLine="0"/>
      </w:pPr>
      <w:r>
        <w:t xml:space="preserve">Les montants en bois massif constituent la structure portante verticale de la paroi à ossature bois. Ils sont posés à intervalles réguliers et reliés en bas et en haut à une lisse basse et une lisse haute.</w:t>
      </w:r>
    </w:p>
    <w:p>
      <w:pPr>
        <w:keepNext/>
        <w:ind w:left="720" w:firstLine="0"/>
      </w:pPr>
      <w:r>
        <w:rPr>
          <w:b/>
          <w:bCs/>
          <w:u w:val="single"/>
        </w:rPr>
        <w:t xml:space="preserve">Matériel</w:t>
      </w:r>
    </w:p>
    <w:p>
      <w:pPr>
        <w:pStyle w:val="Lijstalinea"/>
        <w:numPr>
          <w:ilvl w:val="0"/>
          <w:numId w:val="9"/>
        </w:numPr>
      </w:pPr>
      <w:r>
        <w:t xml:space="preserve">KVH (Konstruktionsvollholz), bois massif de construction aboudé et séché artificiellement, en épicéa européen, classé pour la résistance selon la NBN EN 14081-1 et muni du marquage CE ; aboutages selon la NBN EN 15497.</w:t>
      </w:r>
    </w:p>
    <w:p>
      <w:pPr>
        <w:pStyle w:val="Lijstalinea"/>
        <w:numPr>
          <w:ilvl w:val="0"/>
          <w:numId w:val="9"/>
        </w:numPr>
      </w:pPr>
      <w:r>
        <w:t xml:space="preserve">Classe de résistance (selon la NBN EN 338) : min. C24.</w:t>
      </w:r>
    </w:p>
    <w:p>
      <w:pPr>
        <w:pStyle w:val="Lijstalinea"/>
        <w:numPr>
          <w:ilvl w:val="0"/>
          <w:numId w:val="9"/>
        </w:numPr>
      </w:pPr>
      <w:r>
        <w:t xml:space="preserve">Humidité du bois à la mise en œuvre : max. 15 % (± 3 %).</w:t>
      </w:r>
    </w:p>
    <w:p>
      <w:pPr>
        <w:pStyle w:val="Lijstalinea"/>
        <w:numPr>
          <w:ilvl w:val="0"/>
          <w:numId w:val="9"/>
        </w:numPr>
      </w:pPr>
      <w:r>
        <w:t xml:space="preserve">Tolérance : classe 2 selon la NBN EN 336.</w:t>
      </w:r>
    </w:p>
    <w:p>
      <w:pPr>
        <w:pStyle w:val="Lijstalinea"/>
        <w:numPr>
          <w:ilvl w:val="0"/>
          <w:numId w:val="9"/>
        </w:numPr>
      </w:pPr>
      <w:r>
        <w:t xml:space="preserve">Le bois porte un label FSC 100 % ou PEFC et le fournisseur dispose d’une certification FSC ou PEFC CoC.</w:t>
      </w:r>
    </w:p>
    <w:p>
      <w:pPr>
        <w:pStyle w:val="Lijstalinea"/>
        <w:numPr>
          <w:ilvl w:val="0"/>
          <w:numId w:val="9"/>
        </w:numPr>
      </w:pPr>
      <w:r>
        <w:t xml:space="preserve">Traitement de préservation : </w:t>
      </w:r>
      <w:r>
        <w:rPr>
          <w:color w:val="0070C0"/>
        </w:rPr>
        <w:t xml:space="preserve">procédé A2.1 selon les STS 04.3.1.3 et la NBN EN 351-1 / non requis en classe d’emploi 1 …</w:t>
      </w:r>
      <w:r>
        <w:t xml:space="preserve">.</w:t>
      </w:r>
    </w:p>
    <w:p>
      <w:pPr>
        <w:keepNext/>
        <w:ind w:left="720" w:firstLine="0"/>
      </w:pPr>
      <w:r>
        <w:rPr>
          <w:u w:val="single"/>
        </w:rPr>
        <w:t xml:space="preserve">Spécifications</w:t>
      </w:r>
    </w:p>
    <w:p>
      <w:pPr>
        <w:pStyle w:val="Lijstalinea"/>
        <w:numPr>
          <w:ilvl w:val="0"/>
          <w:numId w:val="9"/>
        </w:numPr>
      </w:pPr>
      <w:r>
        <w:t xml:space="preserve">Section : min. 45 × 180 mm (largeur × profondeur).</w:t>
      </w:r>
      <w:r>
        <w:rPr>
          <w:rStyle w:val="Voetnootmarkering"/>
          <w:color w:val="F05133"/>
        </w:rPr>
        <w:footnoteReference w:id="13"/>
      </w:r>
    </w:p>
    <w:p>
      <w:pPr>
        <w:pStyle w:val="Lijstalinea"/>
        <w:numPr>
          <w:ilvl w:val="0"/>
          <w:numId w:val="9"/>
        </w:numPr>
      </w:pPr>
      <w:r>
        <w:t xml:space="preserve">Entraxe : max. 400 mm.</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Montants du mur extérieur REI 60.</w:t>
      </w:r>
    </w:p>
    <w:p>
      <w:pPr>
        <w:pStyle w:val="Kop3"/>
        <w:keepNext/>
      </w:pPr>
      <w:r>
        <w:t xml:space="preserve">Lisses basse et haute - bois massif</w:t>
      </w:r>
    </w:p>
    <w:p>
      <w:pPr>
        <w:keepNext/>
        <w:ind w:left="720" w:firstLine="0"/>
      </w:pPr>
      <w:r>
        <w:rPr>
          <w:b/>
          <w:bCs/>
          <w:u w:val="single"/>
        </w:rPr>
        <w:t xml:space="preserve">Description</w:t>
      </w:r>
    </w:p>
    <w:p>
      <w:pPr>
        <w:ind w:left="720" w:firstLine="0"/>
      </w:pPr>
      <w:r>
        <w:t xml:space="preserve">Les montants sont reliés en bas à une lisse basse et en haut à une lisse haute.</w:t>
      </w:r>
    </w:p>
    <w:p>
      <w:pPr>
        <w:keepNext/>
        <w:ind w:left="720" w:firstLine="0"/>
      </w:pPr>
      <w:r>
        <w:rPr>
          <w:b/>
          <w:bCs/>
          <w:u w:val="single"/>
        </w:rPr>
        <w:t xml:space="preserve">Matériel</w:t>
      </w:r>
    </w:p>
    <w:p>
      <w:pPr>
        <w:pStyle w:val="Lijstalinea"/>
        <w:numPr>
          <w:ilvl w:val="0"/>
          <w:numId w:val="9"/>
        </w:numPr>
      </w:pPr>
      <w:r>
        <w:t xml:space="preserve">Même essence, classe de résistance et qualité que les montants selon l’article « Montants ».</w:t>
      </w:r>
    </w:p>
    <w:p>
      <w:pPr>
        <w:keepNext/>
        <w:ind w:left="720" w:firstLine="0"/>
      </w:pPr>
      <w:r>
        <w:rPr>
          <w:u w:val="single"/>
        </w:rPr>
        <w:t xml:space="preserve">Spécifications</w:t>
      </w:r>
    </w:p>
    <w:p>
      <w:pPr>
        <w:pStyle w:val="Lijstalinea"/>
        <w:numPr>
          <w:ilvl w:val="0"/>
          <w:numId w:val="9"/>
        </w:numPr>
      </w:pPr>
      <w:r>
        <w:t xml:space="preserve">Section : min. 45 × 180 mm ; la largeur de la lisse est égale à la profondeur des montants.</w:t>
      </w:r>
    </w:p>
    <w:p>
      <w:pPr>
        <w:keepNext/>
        <w:ind w:left="720" w:firstLine="0"/>
      </w:pPr>
      <w:r>
        <w:rPr>
          <w:b/>
          <w:bCs/>
          <w:u w:val="single"/>
        </w:rPr>
        <w:t xml:space="preserve">Mise en œuvre</w:t>
      </w:r>
    </w:p>
    <w:p>
      <w:pPr>
        <w:pStyle w:val="Lijstalinea"/>
        <w:numPr>
          <w:ilvl w:val="0"/>
          <w:numId w:val="9"/>
        </w:numPr>
      </w:pPr>
      <w:r>
        <w:t xml:space="preserve">L’assemblage entre montants et lisses est réalisé selon l’étude de stabilité.</w:t>
      </w:r>
    </w:p>
    <w:p>
      <w:pPr>
        <w:pStyle w:val="Lijstalinea"/>
        <w:numPr>
          <w:ilvl w:val="0"/>
          <w:numId w:val="9"/>
        </w:numPr>
      </w:pPr>
      <w:r>
        <w:t xml:space="preserve">Les orifices d’insufflation de l’isolation sont, le cas échéant, réalisés dans la lisse basse ou haute (voir l’article « Isolation »).</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pStyle w:val="Kop3"/>
        <w:keepNext/>
      </w:pPr>
      <w:r>
        <w:t xml:space="preserve">Isolation - ouate de cellulose insufflée</w:t>
      </w:r>
    </w:p>
    <w:p>
      <w:pPr>
        <w:keepNext/>
        <w:ind w:left="720" w:firstLine="0"/>
      </w:pPr>
      <w:r>
        <w:rPr>
          <w:b/>
          <w:bCs/>
          <w:u w:val="single"/>
        </w:rPr>
        <w:t xml:space="preserve">Description</w:t>
      </w:r>
    </w:p>
    <w:p>
      <w:pPr>
        <w:ind w:left="720" w:firstLine="0"/>
      </w:pPr>
      <w:r>
        <w:t xml:space="preserve">Les compartiments entre les éléments structurels en bois sont entièrement remplis par insufflation de flocons de cellulose.</w:t>
      </w:r>
    </w:p>
    <w:p>
      <w:pPr>
        <w:keepNext/>
        <w:ind w:left="720" w:firstLine="0"/>
      </w:pPr>
      <w:r>
        <w:rPr>
          <w:b/>
          <w:bCs/>
          <w:u w:val="single"/>
        </w:rPr>
        <w:t xml:space="preserve">Matériel</w:t>
      </w:r>
    </w:p>
    <w:p>
      <w:pPr>
        <w:keepNext/>
        <w:ind w:left="720" w:firstLine="0"/>
      </w:pPr>
      <w:r>
        <w:rPr>
          <w:b/>
          <w:bCs/>
          <w:u w:val="single"/>
        </w:rPr>
        <w:t xml:space="preserve">Ouate de cellulose </w:t>
      </w:r>
      <w:r>
        <w:rPr>
          <w:b/>
          <w:bCs/>
          <w:caps w:val="0"/>
          <w:u w:val="single"/>
        </w:rPr>
        <w:t xml:space="preserve">iQ3</w:t>
      </w:r>
    </w:p>
    <w:p>
      <w:pPr>
        <w:pStyle w:val="Lijstalinea"/>
        <w:numPr>
          <w:ilvl w:val="0"/>
          <w:numId w:val="9"/>
        </w:numPr>
      </w:pPr>
      <w:r>
        <w:t xml:space="preserve">Les flocons de cellulose sont composés d’au moins 90 % de fibres de cellulose recyclées (papier journal et carton), avec du sulfate de magnésium et de l’acide borique (max. 3,7 %) comme protection contre le feu, les moisissures et les insectes.</w:t>
      </w:r>
    </w:p>
    <w:p>
      <w:pPr>
        <w:pStyle w:val="Lijstalinea"/>
        <w:numPr>
          <w:ilvl w:val="0"/>
          <w:numId w:val="9"/>
        </w:numPr>
      </w:pPr>
      <w:r>
        <w:t xml:space="preserve">Les flocons de cellulose disposent d’un ETA valide (ETA-20/0593), avec marquage CE, et d’une B-EPD (2000048_001).</w:t>
      </w:r>
    </w:p>
    <w:p>
      <w:pPr>
        <w:pStyle w:val="Lijstalinea"/>
        <w:numPr>
          <w:ilvl w:val="0"/>
          <w:numId w:val="9"/>
        </w:numPr>
      </w:pPr>
      <w:r>
        <w:t xml:space="preserve">Seuls sont acceptés les produits dont la valeur λ peut être démontrée par la valeur λD déclarée dans le marquage CE ou l’ETA, ou par la valeur de calcul λUi reprise dans la base de données des produits PEB.</w:t>
      </w:r>
    </w:p>
    <w:p>
      <w:pPr>
        <w:pStyle w:val="Lijstalinea"/>
        <w:numPr>
          <w:ilvl w:val="0"/>
          <w:numId w:val="9"/>
        </w:numPr>
      </w:pPr>
      <w:r>
        <w:t xml:space="preserve">En cas de préfabrication en atelier, on utilise l’</w:t>
      </w:r>
      <w:r>
        <w:rPr>
          <w:caps w:val="0"/>
        </w:rPr>
        <w:t xml:space="preserve">iQ3p</w:t>
      </w:r>
      <w:r>
        <w:t xml:space="preserve"> : une sélection plus stricte issue de la même production, avec un minimum de fibres courtes, pour une isolation sans tassement après transport. L’</w:t>
      </w:r>
      <w:r>
        <w:rPr>
          <w:caps w:val="0"/>
        </w:rPr>
        <w:t xml:space="preserve">iQ3p</w:t>
      </w:r>
      <w:r>
        <w:t xml:space="preserve"> est couvert par les mêmes certificats et fiches techniques.</w:t>
      </w:r>
    </w:p>
    <w:p>
      <w:pPr>
        <w:keepNext/>
        <w:ind w:left="720" w:firstLine="0"/>
      </w:pPr>
      <w:r>
        <w:rPr>
          <w:u w:val="single"/>
        </w:rPr>
        <w:t xml:space="preserve">Spécifications</w:t>
      </w:r>
    </w:p>
    <w:p>
      <w:pPr>
        <w:pStyle w:val="Lijstalinea"/>
        <w:numPr>
          <w:ilvl w:val="0"/>
          <w:numId w:val="9"/>
        </w:numPr>
      </w:pPr>
      <w:r>
        <w:t xml:space="preserve">Coefficient de conductivité thermique λD (insufflé) : max. 0,038 </w:t>
      </w:r>
      <w:r>
        <w:rPr>
          <w:caps w:val="0"/>
        </w:rPr>
        <w:t xml:space="preserve">W/(m·K)</w:t>
      </w:r>
      <w:r>
        <w:t xml:space="preserve">.</w:t>
      </w:r>
    </w:p>
    <w:p>
      <w:pPr>
        <w:pStyle w:val="Lijstalinea"/>
        <w:numPr>
          <w:ilvl w:val="0"/>
          <w:numId w:val="9"/>
        </w:numPr>
      </w:pPr>
      <w:r>
        <w:t xml:space="preserve">Épaisseur d’isolation : toute la profondeur des montants, min. 180 mm.</w:t>
      </w:r>
    </w:p>
    <w:p>
      <w:pPr>
        <w:pStyle w:val="Lijstalinea"/>
        <w:numPr>
          <w:ilvl w:val="0"/>
          <w:numId w:val="9"/>
        </w:numPr>
      </w:pPr>
      <w:r>
        <w:rPr>
          <w:b/>
          <w:bCs/>
        </w:rPr>
        <w:t xml:space="preserve">Masse volumique après insufflation : min. 50 </w:t>
      </w:r>
      <w:r>
        <w:rPr>
          <w:b/>
          <w:bCs/>
          <w:caps w:val="0"/>
        </w:rPr>
        <w:t xml:space="preserve">kg/m³</w:t>
      </w:r>
      <w:r>
        <w:rPr>
          <w:b/>
          <w:bCs/>
        </w:rPr>
        <w:t xml:space="preserve"> sur l’ensemble du compartiment.</w:t>
      </w:r>
      <w:r>
        <w:rPr>
          <w:rStyle w:val="Voetnootmarkering"/>
          <w:color w:val="F05133"/>
        </w:rPr>
        <w:footnoteReference w:id="14"/>
      </w:r>
    </w:p>
    <w:p>
      <w:pPr>
        <w:pStyle w:val="Lijstalinea"/>
        <w:numPr>
          <w:ilvl w:val="0"/>
          <w:numId w:val="9"/>
        </w:numPr>
      </w:pPr>
      <w:r>
        <w:t xml:space="preserve">Coefficient de résistance à la diffusion de vapeur µ : 1 à 2.</w:t>
      </w:r>
    </w:p>
    <w:p>
      <w:pPr>
        <w:pStyle w:val="Lijstalinea"/>
        <w:numPr>
          <w:ilvl w:val="0"/>
          <w:numId w:val="9"/>
        </w:numPr>
      </w:pPr>
      <w:r>
        <w:t xml:space="preserve">Chaleur spécifique : env. 2.000 J/(kg·K).</w:t>
      </w:r>
    </w:p>
    <w:p>
      <w:pPr>
        <w:pStyle w:val="Lijstalinea"/>
        <w:numPr>
          <w:ilvl w:val="0"/>
          <w:numId w:val="9"/>
        </w:numPr>
      </w:pPr>
      <w:r>
        <w:t xml:space="preserve">Réaction au feu (selon la NBN EN 13501-1) : </w:t>
      </w:r>
      <w:r>
        <w:rPr>
          <w:color w:val="0070C0"/>
        </w:rPr>
        <w:t xml:space="preserve">… selon la déclaration des performances (DoP) en vigueur du fabricant</w:t>
      </w:r>
      <w:r>
        <w:t xml:space="preserve">.</w:t>
      </w:r>
      <w:r>
        <w:rPr>
          <w:rStyle w:val="Voetnootmarkering"/>
          <w:color w:val="F05133"/>
        </w:rPr>
        <w:footnoteReference w:id="15"/>
      </w:r>
    </w:p>
    <w:p>
      <w:pPr>
        <w:keepNext/>
        <w:ind w:left="720" w:firstLine="0"/>
      </w:pPr>
      <w:r>
        <w:rPr>
          <w:b/>
          <w:bCs/>
          <w:u w:val="single"/>
        </w:rPr>
        <w:t xml:space="preserve">Mise en œuvre</w:t>
      </w:r>
    </w:p>
    <w:p>
      <w:pPr>
        <w:pStyle w:val="Lijstalinea"/>
        <w:numPr>
          <w:ilvl w:val="0"/>
          <w:numId w:val="9"/>
        </w:numPr>
      </w:pPr>
      <w:r>
        <w:t xml:space="preserve">Les flocons de cellulose sont mis en œuvre conformément aux dispositions de l’ETA, aux directives du fabricant et aux instructions d’insufflation d’ISOPROC pour la composition de paroi REI 60, par une entreprise d’application formée et agréée par le fabricant, ou en atelier par le fournisseur du système.</w:t>
      </w:r>
    </w:p>
    <w:p>
      <w:pPr>
        <w:pStyle w:val="Lijstalinea"/>
        <w:numPr>
          <w:ilvl w:val="0"/>
          <w:numId w:val="9"/>
        </w:numPr>
      </w:pPr>
      <w:r>
        <w:t xml:space="preserve">Avant l’insufflation, toutes les fentes et ouvertures sont obturées. Les endroits qui ne pourront plus être remplis ultérieurement sont isolés au moyen d’un isolant fibreux approprié lors de la réalisation des compartiments.</w:t>
      </w:r>
    </w:p>
    <w:p>
      <w:pPr>
        <w:pStyle w:val="Lijstalinea"/>
        <w:numPr>
          <w:ilvl w:val="0"/>
          <w:numId w:val="9"/>
        </w:numPr>
      </w:pPr>
      <w:r>
        <w:t xml:space="preserve">Les flocons sont insufflés avec un équipement d’insufflation approprié et selon une technique adaptée, de sorte que le matériau soit suffisamment décompacté. Les compartiments sont entièrement remplis, dans le respect de la masse volumique minimale. Les contrôles de masse volumique nécessaires sont effectués et enregistrés pendant les travaux d’insufflation.</w:t>
      </w:r>
    </w:p>
    <w:p>
      <w:pPr>
        <w:pStyle w:val="Lijstalinea"/>
        <w:numPr>
          <w:ilvl w:val="0"/>
          <w:numId w:val="9"/>
        </w:numPr>
      </w:pPr>
      <w:r>
        <w:t xml:space="preserve">Pour protéger le parement extérieur contre la pression d’insufflation :</w:t>
      </w:r>
    </w:p>
    <w:p>
      <w:pPr>
        <w:pStyle w:val="Lijstalinea"/>
        <w:numPr>
          <w:ilvl w:val="1"/>
          <w:numId w:val="9"/>
        </w:numPr>
      </w:pPr>
      <w:r>
        <w:t xml:space="preserve">le parement extérieur est fixé avec des agrafes à un entraxe max. de 100 mm sur les bords et au centre du panneau, avec une distance au bord de min. 11 mm ;</w:t>
      </w:r>
    </w:p>
    <w:p>
      <w:pPr>
        <w:pStyle w:val="Lijstalinea"/>
        <w:numPr>
          <w:ilvl w:val="1"/>
          <w:numId w:val="9"/>
        </w:numPr>
      </w:pPr>
      <w:r>
        <w:t xml:space="preserve">l’air est évacué activement pendant l’insufflation.</w:t>
      </w:r>
    </w:p>
    <w:p>
      <w:pPr>
        <w:pStyle w:val="Lijstalinea"/>
        <w:numPr>
          <w:ilvl w:val="0"/>
          <w:numId w:val="9"/>
        </w:numPr>
      </w:pPr>
      <w:r>
        <w:rPr>
          <w:color w:val="0070C0"/>
        </w:rPr>
        <w:t xml:space="preserve">En cas d’insufflation à la lance, l’élément est posé à plat et l’insufflation se fait par des orifices dans la lisse basse / …</w:t>
      </w:r>
      <w:r>
        <w:t xml:space="preserve">.</w:t>
      </w:r>
    </w:p>
    <w:p>
      <w:pPr>
        <w:pStyle w:val="Lijstalinea"/>
        <w:numPr>
          <w:ilvl w:val="0"/>
          <w:numId w:val="9"/>
        </w:numPr>
      </w:pPr>
      <w:r>
        <w:t xml:space="preserve">Après l’insufflation, les orifices d’insufflation sont refermés soigneusement et de manière étanche à l’air, avec l’</w:t>
      </w:r>
      <w:r>
        <w:rPr>
          <w:caps w:val="0"/>
        </w:rPr>
        <w:t xml:space="preserve">iQ3</w:t>
      </w:r>
      <w:r>
        <w:t xml:space="preserve"> patch tape / </w:t>
      </w:r>
      <w:r>
        <w:rPr>
          <w:color w:val="0070C0"/>
        </w:rPr>
        <w:t xml:space="preserve">…</w:t>
      </w:r>
      <w:r>
        <w:t xml:space="preserve">.</w:t>
      </w:r>
    </w:p>
    <w:p>
      <w:pPr>
        <w:pStyle w:val="Lijstalinea"/>
        <w:numPr>
          <w:ilvl w:val="0"/>
          <w:numId w:val="9"/>
        </w:numPr>
      </w:pPr>
      <w:r>
        <w:t xml:space="preserve">En cas de préfabrication, la masse volumique est adaptée de manière à ce que l’isolation ne puisse pas se tasser pendant le transport, selon le tableau des masses volumiques pour la préfabrication d’ISOPROC, avec un minimum de 50 </w:t>
      </w:r>
      <w:r>
        <w:rPr>
          <w:caps w:val="0"/>
        </w:rPr>
        <w:t xml:space="preserve">kg/m³</w:t>
      </w:r>
      <w:r>
        <w:t xml:space="preserve">.</w:t>
      </w:r>
    </w:p>
    <w:p>
      <w:pPr>
        <w:pStyle w:val="Lijstalinea"/>
        <w:numPr>
          <w:ilvl w:val="0"/>
          <w:numId w:val="9"/>
        </w:numPr>
      </w:pPr>
      <w:r>
        <w:t xml:space="preserve">Des mesures sont prises pour éviter que la cellulose soit exposée à des températures supérieures à 80 °C (conduits de fumée, spots encastrés, …).</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Isolation du mur extérieur REI 60 ; épaisseur totale : toute la profondeur des montants, min. 180 mm ; λD : max. 0,038 </w:t>
      </w:r>
      <w:r>
        <w:rPr>
          <w:caps w:val="0"/>
        </w:rPr>
        <w:t xml:space="preserve">W/(m·K)</w:t>
      </w:r>
      <w:r>
        <w:t xml:space="preserve">.</w:t>
      </w:r>
    </w:p>
    <w:p>
      <w:pPr>
        <w:pStyle w:val="Kop3"/>
        <w:keepNext/>
      </w:pPr>
      <w:r>
        <w:t xml:space="preserve">Parement intérieur 1 - panneau de particules étanche à l’air et frein-vapeur</w:t>
      </w:r>
    </w:p>
    <w:p>
      <w:pPr>
        <w:keepNext/>
        <w:ind w:left="720" w:firstLine="0"/>
      </w:pPr>
      <w:r>
        <w:rPr>
          <w:b/>
          <w:bCs/>
          <w:u w:val="single"/>
        </w:rPr>
        <w:t xml:space="preserve">Description</w:t>
      </w:r>
    </w:p>
    <w:p>
      <w:pPr>
        <w:ind w:left="720" w:firstLine="0"/>
      </w:pPr>
      <w:r>
        <w:t xml:space="preserve">Panneau de particules structurel utilisé comme parement intérieur 1 de la paroi à ossature bois. Le panneau assure à la fois le contreventement, l’étanchéité à l’air et la fonction de frein-vapeur de la paroi ; une membrane intérieure séparée n’est pas nécessaire.</w:t>
      </w:r>
    </w:p>
    <w:p>
      <w:pPr>
        <w:keepNext/>
        <w:ind w:left="720" w:firstLine="0"/>
      </w:pPr>
      <w:r>
        <w:rPr>
          <w:b/>
          <w:bCs/>
          <w:u w:val="single"/>
        </w:rPr>
        <w:t xml:space="preserve">Matériel</w:t>
      </w:r>
    </w:p>
    <w:p>
      <w:pPr>
        <w:keepNext/>
        <w:ind w:left="720" w:firstLine="0"/>
      </w:pPr>
      <w:r>
        <w:rPr>
          <w:b/>
          <w:bCs/>
          <w:u w:val="single"/>
        </w:rPr>
        <w:t xml:space="preserve">ISOPROC Block'Air Particle</w:t>
      </w:r>
    </w:p>
    <w:p>
      <w:pPr>
        <w:pStyle w:val="Lijstalinea"/>
        <w:numPr>
          <w:ilvl w:val="0"/>
          <w:numId w:val="9"/>
        </w:numPr>
      </w:pPr>
      <w:r>
        <w:t xml:space="preserve">Panneau de particules conforme à la NBN EN 312, avec marquage CE et déclaration des performances (DoP) du fabricant.</w:t>
      </w:r>
    </w:p>
    <w:p>
      <w:pPr>
        <w:pStyle w:val="Lijstalinea"/>
        <w:numPr>
          <w:ilvl w:val="0"/>
          <w:numId w:val="9"/>
        </w:numPr>
      </w:pPr>
      <w:r>
        <w:rPr>
          <w:color w:val="0070C0"/>
        </w:rPr>
        <w:t xml:space="preserve">Les panneaux portent un label FSC 100 % ou PEFC et le fournisseur dispose d’une certification FSC ou PEFC CoC.</w:t>
      </w:r>
    </w:p>
    <w:p>
      <w:pPr>
        <w:pStyle w:val="Lijstalinea"/>
        <w:numPr>
          <w:ilvl w:val="0"/>
          <w:numId w:val="9"/>
        </w:numPr>
      </w:pPr>
      <w:r>
        <w:t xml:space="preserve">Le panneau est étanche à l’air dans la masse, grâce aux fibres fines des couches extérieures des deux faces, et non grâce à un revêtement. Il n’y a donc pas de sens de pose imposé.</w:t>
      </w:r>
    </w:p>
    <w:p>
      <w:pPr>
        <w:keepNext/>
        <w:ind w:left="720" w:firstLine="0"/>
      </w:pPr>
      <w:r>
        <w:rPr>
          <w:u w:val="single"/>
        </w:rPr>
        <w:t xml:space="preserve">Spécifications</w:t>
      </w:r>
    </w:p>
    <w:p>
      <w:pPr>
        <w:pStyle w:val="Lijstalinea"/>
        <w:numPr>
          <w:ilvl w:val="0"/>
          <w:numId w:val="9"/>
        </w:numPr>
      </w:pPr>
      <w:r>
        <w:t xml:space="preserve">Type de panneau (selon la NBN EN 312) : P5.</w:t>
      </w:r>
    </w:p>
    <w:p>
      <w:pPr>
        <w:pStyle w:val="Lijstalinea"/>
        <w:numPr>
          <w:ilvl w:val="0"/>
          <w:numId w:val="9"/>
        </w:numPr>
      </w:pPr>
      <w:r>
        <w:t xml:space="preserve">Épaisseur : </w:t>
      </w:r>
      <w:r>
        <w:rPr>
          <w:color w:val="0070C0"/>
        </w:rPr>
        <w:t xml:space="preserve">12 / 13 mm</w:t>
      </w:r>
      <w:r>
        <w:t xml:space="preserve"> ; tolérance d’épaisseur ± 0,3 mm.</w:t>
      </w:r>
    </w:p>
    <w:p>
      <w:pPr>
        <w:pStyle w:val="Lijstalinea"/>
        <w:numPr>
          <w:ilvl w:val="0"/>
          <w:numId w:val="9"/>
        </w:numPr>
      </w:pPr>
      <w:r>
        <w:t xml:space="preserve">Dimensions : largeur max. 1.196 mm ; longueur max. 2.800 mm.</w:t>
      </w:r>
      <w:r>
        <w:rPr>
          <w:rStyle w:val="Voetnootmarkering"/>
          <w:color w:val="F05133"/>
        </w:rPr>
        <w:footnoteReference w:id="16"/>
      </w:r>
    </w:p>
    <w:p>
      <w:pPr>
        <w:pStyle w:val="Lijstalinea"/>
        <w:numPr>
          <w:ilvl w:val="0"/>
          <w:numId w:val="9"/>
        </w:numPr>
      </w:pPr>
      <w:r>
        <w:t xml:space="preserve">Finition des bords : bords droits.</w:t>
      </w:r>
    </w:p>
    <w:p>
      <w:pPr>
        <w:pStyle w:val="Lijstalinea"/>
        <w:numPr>
          <w:ilvl w:val="0"/>
          <w:numId w:val="9"/>
        </w:numPr>
      </w:pPr>
      <w:r>
        <w:t xml:space="preserve">Masse volumique moyenne (selon la NBN EN 323) : 800 </w:t>
      </w:r>
      <w:r>
        <w:rPr>
          <w:caps w:val="0"/>
        </w:rPr>
        <w:t xml:space="preserve">kg/m³</w:t>
      </w:r>
      <w:r>
        <w:t xml:space="preserve">.</w:t>
      </w:r>
    </w:p>
    <w:p>
      <w:pPr>
        <w:pStyle w:val="Lijstalinea"/>
        <w:numPr>
          <w:ilvl w:val="0"/>
          <w:numId w:val="9"/>
        </w:numPr>
      </w:pPr>
      <w:r>
        <w:t xml:space="preserve">Résistance à la flexion (selon la NBN EN 310) : 18 N/m</w:t>
      </w:r>
      <w:r>
        <w:rPr>
          <w:caps w:val="0"/>
        </w:rPr>
        <w:t xml:space="preserve">m²</w:t>
      </w:r>
      <w:r>
        <w:t xml:space="preserve"> ; module d’élasticité en flexion : 2.550 N/m</w:t>
      </w:r>
      <w:r>
        <w:rPr>
          <w:caps w:val="0"/>
        </w:rPr>
        <w:t xml:space="preserve">m²</w:t>
      </w:r>
      <w:r>
        <w:t xml:space="preserve">.</w:t>
      </w:r>
    </w:p>
    <w:p>
      <w:pPr>
        <w:pStyle w:val="Lijstalinea"/>
        <w:numPr>
          <w:ilvl w:val="0"/>
          <w:numId w:val="9"/>
        </w:numPr>
      </w:pPr>
      <w:r>
        <w:t xml:space="preserve">Résistance à la traction perpendiculaire (selon la NBN EN 319) : 0,45 N/m</w:t>
      </w:r>
      <w:r>
        <w:rPr>
          <w:caps w:val="0"/>
        </w:rPr>
        <w:t xml:space="preserve">m²</w:t>
      </w:r>
      <w:r>
        <w:t xml:space="preserve"> ; gonflement en épaisseur après 24 h (selon la NBN EN 317) : 11 %.</w:t>
      </w:r>
    </w:p>
    <w:p>
      <w:pPr>
        <w:pStyle w:val="Lijstalinea"/>
        <w:numPr>
          <w:ilvl w:val="0"/>
          <w:numId w:val="9"/>
        </w:numPr>
      </w:pPr>
      <w:r>
        <w:t xml:space="preserve">Coefficient de résistance à la diffusion de vapeur µ (selon la NBN EN ISO 12572), wet cup / dry cup : 300 / 600 ; soit une valeur sd d’env. 3,6 / 7,2 m en 12 mm et d’env. 3,9 / 7,8 m en 13 mm.</w:t>
      </w:r>
    </w:p>
    <w:p>
      <w:pPr>
        <w:pStyle w:val="Lijstalinea"/>
        <w:numPr>
          <w:ilvl w:val="0"/>
          <w:numId w:val="9"/>
        </w:numPr>
      </w:pPr>
      <w:r>
        <w:t xml:space="preserve">Perméabilité à l’air sous 50 Pa (selon la NBN EN 12114) : 0 m³/(</w:t>
      </w:r>
      <w:r>
        <w:rPr>
          <w:caps w:val="0"/>
        </w:rPr>
        <w:t xml:space="preserve">m²</w:t>
      </w:r>
      <w:r>
        <w:t xml:space="preserve">·h).</w:t>
      </w:r>
    </w:p>
    <w:p>
      <w:pPr>
        <w:pStyle w:val="Lijstalinea"/>
        <w:numPr>
          <w:ilvl w:val="0"/>
          <w:numId w:val="9"/>
        </w:numPr>
      </w:pPr>
      <w:r>
        <w:t xml:space="preserve">Réaction au feu (selon la NBN EN 13986) : D-s2,d0.</w:t>
      </w:r>
    </w:p>
    <w:p>
      <w:pPr>
        <w:pStyle w:val="Lijstalinea"/>
        <w:numPr>
          <w:ilvl w:val="0"/>
          <w:numId w:val="9"/>
        </w:numPr>
      </w:pPr>
      <w:r>
        <w:t xml:space="preserve">Coefficient de conductivité thermique (selon la NBN EN 13986) : 0,12 </w:t>
      </w:r>
      <w:r>
        <w:rPr>
          <w:caps w:val="0"/>
        </w:rPr>
        <w:t xml:space="preserve">W/(m·K)</w:t>
      </w:r>
      <w:r>
        <w:t xml:space="preserve">.</w:t>
      </w:r>
    </w:p>
    <w:p>
      <w:pPr>
        <w:pStyle w:val="Lijstalinea"/>
        <w:numPr>
          <w:ilvl w:val="0"/>
          <w:numId w:val="9"/>
        </w:numPr>
      </w:pPr>
      <w:r>
        <w:t xml:space="preserve">Émission de formaldéhyde (selon la NBN EN 717-1) : classe E1 E05, ≤ 0,05 ppm.</w:t>
      </w:r>
    </w:p>
    <w:p>
      <w:pPr>
        <w:keepNext/>
        <w:ind w:left="720" w:firstLine="0"/>
      </w:pPr>
      <w:r>
        <w:rPr>
          <w:b/>
          <w:bCs/>
          <w:u w:val="single"/>
        </w:rPr>
        <w:t xml:space="preserve">Mise en œuvre</w:t>
      </w:r>
    </w:p>
    <w:p>
      <w:pPr>
        <w:pStyle w:val="Lijstalinea"/>
        <w:numPr>
          <w:ilvl w:val="0"/>
          <w:numId w:val="9"/>
        </w:numPr>
      </w:pPr>
      <w:r>
        <w:t xml:space="preserve">Les panneaux sont posés selon les prescriptions du fabricant et conformément à la NIT 255 Étanchéité à l’air des bâtiments de Buildwise.</w:t>
      </w:r>
    </w:p>
    <w:p>
      <w:pPr>
        <w:pStyle w:val="Lijstalinea"/>
        <w:numPr>
          <w:ilvl w:val="0"/>
          <w:numId w:val="9"/>
        </w:numPr>
      </w:pPr>
      <w:r>
        <w:t xml:space="preserve">Les panneaux sont fixés comme décrit à l’article « Mur extérieur porteur à ossature bois REI 60 </w:t>
      </w:r>
      <w:r>
        <w:rPr>
          <w:caps w:val="0"/>
        </w:rPr>
        <w:t xml:space="preserve">(o↔i)</w:t>
      </w:r>
      <w:r>
        <w:t xml:space="preserve"> » : agrafes 1,5 × 50 mm, largeur du dos 11 mm, entraxe max. 150 mm sur les bords et max. 300 mm au centre du panneau.</w:t>
      </w:r>
    </w:p>
    <w:p>
      <w:pPr>
        <w:pStyle w:val="Lijstalinea"/>
        <w:numPr>
          <w:ilvl w:val="0"/>
          <w:numId w:val="9"/>
        </w:numPr>
      </w:pPr>
      <w:r>
        <w:t xml:space="preserve">Les joints verticaux se situent au droit d’un montant et sont réalisés avec un joint d’env. 4 mm.</w:t>
      </w:r>
      <w:r>
        <w:rPr>
          <w:rStyle w:val="Voetnootmarkering"/>
          <w:color w:val="F05133"/>
        </w:rPr>
        <w:footnoteReference w:id="17"/>
      </w:r>
    </w:p>
    <w:p>
      <w:pPr>
        <w:pStyle w:val="Lijstalinea"/>
        <w:numPr>
          <w:ilvl w:val="0"/>
          <w:numId w:val="9"/>
        </w:numPr>
      </w:pPr>
      <w:r>
        <w:t xml:space="preserve">Tous les joints, raccords et éventuels dommages sont rendus étanches à l’air au moyen de la bande adhésive selon l’article « Bande adhésive ».</w:t>
      </w:r>
    </w:p>
    <w:p>
      <w:pPr>
        <w:pStyle w:val="Lijstalinea"/>
        <w:numPr>
          <w:ilvl w:val="0"/>
          <w:numId w:val="9"/>
        </w:numPr>
      </w:pPr>
      <w:r>
        <w:t xml:space="preserve">Les raccords avec d’autres éléments de l’enveloppe d’étanchéité à l’air (planchers, fenêtres, toiture, …) sont réalisés de manière étanche à l’air selon les plans de détail et les instructions de l’architecte.</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Parement intérieur 1 du mur extérieur REI 60.</w:t>
      </w:r>
    </w:p>
    <w:p>
      <w:pPr>
        <w:pStyle w:val="Kop3"/>
        <w:keepNext/>
      </w:pPr>
      <w:r>
        <w:t xml:space="preserve">Bande adhésive - joints de panneaux étanches à l’air</w:t>
      </w:r>
    </w:p>
    <w:p>
      <w:pPr>
        <w:keepNext/>
        <w:ind w:left="720" w:firstLine="0"/>
      </w:pPr>
      <w:r>
        <w:rPr>
          <w:b/>
          <w:bCs/>
          <w:u w:val="single"/>
        </w:rPr>
        <w:t xml:space="preserve">Description</w:t>
      </w:r>
    </w:p>
    <w:p>
      <w:pPr>
        <w:ind w:left="720" w:firstLine="0"/>
      </w:pPr>
      <w:r>
        <w:t xml:space="preserve">Bande adhésive destinée à rendre étanches à l’air les joints, raccords et dommages du panneau de particules étanche à l’air.</w:t>
      </w:r>
    </w:p>
    <w:p>
      <w:pPr>
        <w:keepNext/>
        <w:ind w:left="720" w:firstLine="0"/>
      </w:pPr>
      <w:r>
        <w:rPr>
          <w:b/>
          <w:bCs/>
          <w:u w:val="single"/>
        </w:rPr>
        <w:t xml:space="preserve">Matériel</w:t>
      </w:r>
    </w:p>
    <w:p>
      <w:pPr>
        <w:keepNext/>
        <w:ind w:left="720" w:firstLine="0"/>
      </w:pPr>
      <w:r>
        <w:rPr>
          <w:b/>
          <w:bCs/>
          <w:u w:val="single"/>
        </w:rPr>
        <w:t xml:space="preserve">pro clima TESCON VANA</w:t>
      </w:r>
    </w:p>
    <w:p>
      <w:pPr>
        <w:pStyle w:val="Lijstalinea"/>
        <w:numPr>
          <w:ilvl w:val="0"/>
          <w:numId w:val="9"/>
        </w:numPr>
      </w:pPr>
      <w:r>
        <w:t xml:space="preserve">La bande adhésive et les éventuels accessoires font partie d’un même système d’étanchéité à l’air et sont compatibles avec le support.</w:t>
      </w:r>
    </w:p>
    <w:p>
      <w:pPr>
        <w:keepNext/>
        <w:ind w:left="720" w:firstLine="0"/>
      </w:pPr>
      <w:r>
        <w:rPr>
          <w:u w:val="single"/>
        </w:rPr>
        <w:t xml:space="preserve">Spécifications</w:t>
      </w:r>
    </w:p>
    <w:p>
      <w:pPr>
        <w:pStyle w:val="Lijstalinea"/>
        <w:numPr>
          <w:ilvl w:val="0"/>
          <w:numId w:val="9"/>
        </w:numPr>
      </w:pPr>
      <w:r>
        <w:t xml:space="preserve">Support : non-tissé en polypropylène ; colle : colle résistante à l’eau ; protection : papier siliconé.</w:t>
      </w:r>
    </w:p>
    <w:p>
      <w:pPr>
        <w:pStyle w:val="Lijstalinea"/>
        <w:numPr>
          <w:ilvl w:val="0"/>
          <w:numId w:val="9"/>
        </w:numPr>
      </w:pPr>
      <w:r>
        <w:t xml:space="preserve">Largeur : 60 mm ; épaisseur : env. 0,3 mm.</w:t>
      </w:r>
    </w:p>
    <w:p>
      <w:pPr>
        <w:pStyle w:val="Lijstalinea"/>
        <w:numPr>
          <w:ilvl w:val="0"/>
          <w:numId w:val="9"/>
        </w:numPr>
      </w:pPr>
      <w:r>
        <w:t xml:space="preserve">Convient pour des raccords étanches à l’air selon la DIN 4108-7.</w:t>
      </w:r>
    </w:p>
    <w:p>
      <w:pPr>
        <w:pStyle w:val="Lijstalinea"/>
        <w:numPr>
          <w:ilvl w:val="0"/>
          <w:numId w:val="9"/>
        </w:numPr>
      </w:pPr>
      <w:r>
        <w:t xml:space="preserve">Température de mise en œuvre : à partir de -10 °C ; résistance à la température : de -50 °C à +90 °C.</w:t>
      </w:r>
    </w:p>
    <w:p>
      <w:pPr>
        <w:keepNext/>
        <w:ind w:left="720" w:firstLine="0"/>
      </w:pPr>
      <w:r>
        <w:rPr>
          <w:b/>
          <w:bCs/>
          <w:u w:val="single"/>
        </w:rPr>
        <w:t xml:space="preserve">Mise en œuvre</w:t>
      </w:r>
    </w:p>
    <w:p>
      <w:pPr>
        <w:pStyle w:val="Lijstalinea"/>
        <w:numPr>
          <w:ilvl w:val="0"/>
          <w:numId w:val="9"/>
        </w:numPr>
      </w:pPr>
      <w:r>
        <w:t xml:space="preserve">La bande adhésive est appliquée selon les prescriptions du fabricant et conformément à la NIT 255. Le support est sec et exempt de poussière, de graisse et de silicone. La bande est bien marouflée.</w:t>
      </w:r>
    </w:p>
    <w:p>
      <w:pPr>
        <w:pStyle w:val="Lijstalinea"/>
        <w:numPr>
          <w:ilvl w:val="0"/>
          <w:numId w:val="9"/>
        </w:numPr>
      </w:pPr>
      <w:r>
        <w:t xml:space="preserve">La bande adhésive est appliquée avant la pose du parement intérieur 2.</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pStyle w:val="Kop3"/>
        <w:keepNext/>
      </w:pPr>
      <w:r>
        <w:t xml:space="preserve">Parement intérieur 2 - plaque de plâtre coupe-feu de type DF</w:t>
      </w:r>
    </w:p>
    <w:p>
      <w:pPr>
        <w:keepNext/>
        <w:ind w:left="720" w:firstLine="0"/>
      </w:pPr>
      <w:r>
        <w:rPr>
          <w:b/>
          <w:bCs/>
          <w:u w:val="single"/>
        </w:rPr>
        <w:t xml:space="preserve">Description</w:t>
      </w:r>
    </w:p>
    <w:p>
      <w:pPr>
        <w:ind w:left="720" w:firstLine="0"/>
      </w:pPr>
      <w:r>
        <w:t xml:space="preserve">Plaque de plâtre coupe-feu utilisée comme deuxième parement intérieur de la paroi à ossature bois, posée contre le panneau de particules étanche à l’air.</w:t>
      </w:r>
    </w:p>
    <w:p>
      <w:pPr>
        <w:keepNext/>
        <w:ind w:left="720" w:firstLine="0"/>
      </w:pPr>
      <w:r>
        <w:rPr>
          <w:b/>
          <w:bCs/>
          <w:u w:val="single"/>
        </w:rPr>
        <w:t xml:space="preserve">Matériel</w:t>
      </w:r>
    </w:p>
    <w:p>
      <w:pPr>
        <w:keepNext/>
        <w:ind w:left="720" w:firstLine="0"/>
      </w:pPr>
      <w:r>
        <w:rPr>
          <w:b/>
          <w:bCs/>
          <w:u w:val="single"/>
        </w:rPr>
        <w:t xml:space="preserve">Siniat Prégyflam</w:t>
      </w:r>
    </w:p>
    <w:p>
      <w:pPr>
        <w:pStyle w:val="Lijstalinea"/>
        <w:numPr>
          <w:ilvl w:val="0"/>
          <w:numId w:val="9"/>
        </w:numPr>
      </w:pPr>
      <w:r>
        <w:t xml:space="preserve">Plaque de plâtre conforme à la NBN EN 520+A1, avec marquage CE et déclaration des performances (DoP).</w:t>
      </w:r>
    </w:p>
    <w:p>
      <w:pPr>
        <w:keepNext/>
        <w:ind w:left="720" w:firstLine="0"/>
      </w:pPr>
      <w:r>
        <w:rPr>
          <w:u w:val="single"/>
        </w:rPr>
        <w:t xml:space="preserve">Spécifications</w:t>
      </w:r>
    </w:p>
    <w:p>
      <w:pPr>
        <w:pStyle w:val="Lijstalinea"/>
        <w:numPr>
          <w:ilvl w:val="0"/>
          <w:numId w:val="9"/>
        </w:numPr>
      </w:pPr>
      <w:r>
        <w:t xml:space="preserve">Type (selon la NBN EN 520) : DF (masse volumique contrôlée ; cohésion du cœur améliorée à haute température).</w:t>
      </w:r>
    </w:p>
    <w:p>
      <w:pPr>
        <w:pStyle w:val="Lijstalinea"/>
        <w:numPr>
          <w:ilvl w:val="0"/>
          <w:numId w:val="9"/>
        </w:numPr>
      </w:pPr>
      <w:r>
        <w:t xml:space="preserve">Réaction au feu (selon la NBN EN 13501-1) : A2-s1,d0.</w:t>
      </w:r>
    </w:p>
    <w:p>
      <w:pPr>
        <w:pStyle w:val="Lijstalinea"/>
        <w:numPr>
          <w:ilvl w:val="0"/>
          <w:numId w:val="9"/>
        </w:numPr>
      </w:pPr>
      <w:r>
        <w:t xml:space="preserve">Épaisseur : 15 mm.</w:t>
      </w:r>
    </w:p>
    <w:p>
      <w:pPr>
        <w:pStyle w:val="Lijstalinea"/>
        <w:numPr>
          <w:ilvl w:val="0"/>
          <w:numId w:val="9"/>
        </w:numPr>
      </w:pPr>
      <w:r>
        <w:t xml:space="preserve">Dimensions : largeur max. 1.200 mm ; longueur max. 2.600 mm.</w:t>
      </w:r>
      <w:r>
        <w:rPr>
          <w:rStyle w:val="Voetnootmarkering"/>
          <w:color w:val="F05133"/>
        </w:rPr>
        <w:footnoteReference w:id="18"/>
      </w:r>
    </w:p>
    <w:p>
      <w:pPr>
        <w:pStyle w:val="Lijstalinea"/>
        <w:numPr>
          <w:ilvl w:val="0"/>
          <w:numId w:val="9"/>
        </w:numPr>
      </w:pPr>
      <w:r>
        <w:t xml:space="preserve">Masse volumique nominale : 900 </w:t>
      </w:r>
      <w:r>
        <w:rPr>
          <w:caps w:val="0"/>
        </w:rPr>
        <w:t xml:space="preserve">kg/m³</w:t>
      </w:r>
      <w:r>
        <w:t xml:space="preserve"> ; poids : env. 13,5 kg/</w:t>
      </w:r>
      <w:r>
        <w:rPr>
          <w:caps w:val="0"/>
        </w:rPr>
        <w:t xml:space="preserve">m²</w:t>
      </w:r>
      <w:r>
        <w:t xml:space="preserve">.</w:t>
      </w:r>
    </w:p>
    <w:p>
      <w:pPr>
        <w:pStyle w:val="Lijstalinea"/>
        <w:numPr>
          <w:ilvl w:val="0"/>
          <w:numId w:val="9"/>
        </w:numPr>
      </w:pPr>
      <w:r>
        <w:t xml:space="preserve">Finition des bords : bords longitudinaux </w:t>
      </w:r>
      <w:r>
        <w:rPr>
          <w:color w:val="0070C0"/>
        </w:rPr>
        <w:t xml:space="preserve">amincis (BA) / amincis sur 4 côtés (4BA)</w:t>
      </w:r>
      <w:r>
        <w:t xml:space="preserve">.</w:t>
      </w:r>
    </w:p>
    <w:p>
      <w:pPr>
        <w:keepNext/>
        <w:ind w:left="720" w:firstLine="0"/>
      </w:pPr>
      <w:r>
        <w:rPr>
          <w:b/>
          <w:bCs/>
          <w:u w:val="single"/>
        </w:rPr>
        <w:t xml:space="preserve">Mise en œuvre</w:t>
      </w:r>
    </w:p>
    <w:p>
      <w:pPr>
        <w:pStyle w:val="Lijstalinea"/>
        <w:numPr>
          <w:ilvl w:val="0"/>
          <w:numId w:val="9"/>
        </w:numPr>
      </w:pPr>
      <w:r>
        <w:t xml:space="preserve">Les plaques sont posées selon les prescriptions du fabricant et fixées comme décrit à l’article « Mur extérieur porteur à ossature bois REI 60 </w:t>
      </w:r>
      <w:r>
        <w:rPr>
          <w:caps w:val="0"/>
        </w:rPr>
        <w:t xml:space="preserve">(o↔i)</w:t>
      </w:r>
      <w:r>
        <w:t xml:space="preserve"> » : agrafes 1,4 × 55 mm, largeur du dos 11,2 mm, entraxe max. 100 mm sur les bords verticaux et max. 200 mm au centre du panneau.</w:t>
      </w:r>
    </w:p>
    <w:p>
      <w:pPr>
        <w:pStyle w:val="Lijstalinea"/>
        <w:numPr>
          <w:ilvl w:val="0"/>
          <w:numId w:val="9"/>
        </w:numPr>
      </w:pPr>
      <w:r>
        <w:t xml:space="preserve">Les joints sont décalés par rapport aux joints du panneau de particules.</w:t>
      </w:r>
    </w:p>
    <w:p>
      <w:pPr>
        <w:pStyle w:val="Lijstalinea"/>
        <w:numPr>
          <w:ilvl w:val="0"/>
          <w:numId w:val="9"/>
        </w:numPr>
      </w:pPr>
      <w:r>
        <w:t xml:space="preserve">Degré de finition selon la NIT 233 : </w:t>
      </w:r>
      <w:r>
        <w:rPr>
          <w:color w:val="0070C0"/>
        </w:rPr>
        <w:t xml:space="preserve">F1 (à carreler) / F2a (à peindre, jointoiement standard) / F2b (à peindre, méthode de raclage) / F3 (enduisage sur toute la surface) / pas de finition (en cas de vide technique)</w:t>
      </w:r>
      <w:r>
        <w:t xml:space="preserve">.</w:t>
      </w:r>
    </w:p>
    <w:p>
      <w:pPr>
        <w:pStyle w:val="Lijstalinea"/>
        <w:numPr>
          <w:ilvl w:val="0"/>
          <w:numId w:val="9"/>
        </w:numPr>
      </w:pPr>
      <w:r>
        <w:t xml:space="preserve">Des profilés de protection d’angle sont posés sur tous les angles saillants.</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Parement intérieur 2 du mur extérieur REI 60.</w:t>
      </w:r>
    </w:p>
    <w:p>
      <w:pPr>
        <w:pStyle w:val="Kop3"/>
        <w:keepNext/>
      </w:pPr>
      <w:r>
        <w:t xml:space="preserve">Vide technique - structure de lattage en bois pour finition intérieure </w:t>
      </w:r>
      <w:r>
        <w:rPr>
          <w:color w:val="0070C0"/>
        </w:rPr>
        <w:t xml:space="preserve">(option)</w:t>
      </w:r>
    </w:p>
    <w:p>
      <w:pPr>
        <w:keepNext/>
        <w:ind w:left="720" w:firstLine="0"/>
      </w:pPr>
      <w:r>
        <w:rPr>
          <w:b/>
          <w:bCs/>
          <w:u w:val="single"/>
        </w:rPr>
        <w:t xml:space="preserve">Description</w:t>
      </w:r>
    </w:p>
    <w:p>
      <w:pPr>
        <w:ind w:left="720" w:firstLine="0"/>
      </w:pPr>
      <w:r>
        <w:rPr>
          <w:color w:val="0070C0"/>
        </w:rPr>
        <w:t xml:space="preserve">Structure de lattage en bois du côté intérieur du mur extérieur REI 60, destinée à créer un vide technique et à poser le parement de finition.</w:t>
      </w:r>
    </w:p>
    <w:p>
      <w:pPr>
        <w:keepNext/>
        <w:ind w:left="720" w:firstLine="0"/>
      </w:pPr>
      <w:r>
        <w:rPr>
          <w:b/>
          <w:bCs/>
          <w:u w:val="single"/>
        </w:rPr>
        <w:t xml:space="preserve">Matériel</w:t>
      </w:r>
    </w:p>
    <w:p>
      <w:pPr>
        <w:pStyle w:val="Lijstalinea"/>
        <w:numPr>
          <w:ilvl w:val="0"/>
          <w:numId w:val="9"/>
        </w:numPr>
      </w:pPr>
      <w:r>
        <w:rPr>
          <w:color w:val="0070C0"/>
        </w:rPr>
        <w:t xml:space="preserve">Épicéa européen ou indigène, avec marquage CE et label FSC 100 % ou PEFC ; humidité du bois max. 20 % ; tolérance classe 2 selon la NBN EN 336.</w:t>
      </w:r>
    </w:p>
    <w:p>
      <w:pPr>
        <w:keepNext/>
        <w:ind w:left="720" w:firstLine="0"/>
      </w:pPr>
      <w:r>
        <w:rPr>
          <w:u w:val="single"/>
        </w:rPr>
        <w:t xml:space="preserve">Spécifications</w:t>
      </w:r>
    </w:p>
    <w:p>
      <w:pPr>
        <w:pStyle w:val="Lijstalinea"/>
        <w:numPr>
          <w:ilvl w:val="0"/>
          <w:numId w:val="9"/>
        </w:numPr>
      </w:pPr>
      <w:r>
        <w:rPr>
          <w:color w:val="0070C0"/>
        </w:rPr>
        <w:t xml:space="preserve">Épaisseur : … mm / voir plans ; entraxe : … mm.</w:t>
      </w:r>
    </w:p>
    <w:p>
      <w:pPr>
        <w:keepNext/>
        <w:ind w:left="720" w:firstLine="0"/>
      </w:pPr>
      <w:r>
        <w:rPr>
          <w:b/>
          <w:bCs/>
          <w:u w:val="single"/>
        </w:rPr>
        <w:t xml:space="preserve">Mise en œuvre</w:t>
      </w:r>
    </w:p>
    <w:p>
      <w:pPr>
        <w:pStyle w:val="Lijstalinea"/>
        <w:numPr>
          <w:ilvl w:val="0"/>
          <w:numId w:val="9"/>
        </w:numPr>
      </w:pPr>
      <w:r>
        <w:rPr>
          <w:color w:val="0070C0"/>
        </w:rPr>
        <w:t xml:space="preserve">Le lattage est fixé dans les montants, à travers les parements intérieurs. Son épaisseur est adaptée à l’encastrement des éléments électriques.</w:t>
      </w:r>
    </w:p>
    <w:p>
      <w:pPr>
        <w:keepNext/>
        <w:ind w:left="720" w:firstLine="0"/>
      </w:pPr>
      <w:r>
        <w:rPr>
          <w:b/>
          <w:bCs/>
          <w:u w:val="single"/>
        </w:rPr>
        <w:t xml:space="preserve">Mesure</w:t>
      </w:r>
    </w:p>
    <w:p>
      <w:pPr>
        <w:pStyle w:val="Lijstalinea"/>
        <w:numPr>
          <w:ilvl w:val="0"/>
          <w:numId w:val="9"/>
        </w:numPr>
      </w:pPr>
      <w:r>
        <w:rPr>
          <w:color w:val="0070C0"/>
        </w:rPr>
        <w:t xml:space="preserve">Nature du marché : pour mémoire (PM). Compris dans le prix des murs.</w:t>
      </w:r>
    </w:p>
    <w:p>
      <w:pPr>
        <w:spacing w:before="0" w:after="0"/>
      </w:pPr>
      <w:r>
        <w:br w:type="page"/>
      </w:r>
    </w:p>
    <w:p>
      <w:pPr>
        <w:pStyle w:val="Kop2"/>
        <w:numPr>
          <w:ilvl w:val="0"/>
          <w:numId w:val="0"/>
        </w:numPr>
      </w:pPr>
      <w:bookmarkStart w:id="102" w:name="_REI60_Neutre"/>
      <w:bookmarkEnd w:id="102"/>
      <w:r>
        <w:t xml:space="preserve">Mur extérieur REI 60 - cahier des charges </w:t>
      </w:r>
      <w:r>
        <w:rPr>
          <w:u w:val="single"/>
        </w:rPr>
        <w:t xml:space="preserve">neutre</w:t>
      </w:r>
    </w:p>
    <w:p>
      <w:pPr>
        <w:jc w:val="right"/>
      </w:pPr>
      <w:hyperlink w:anchor="_Cahiers_des_charges" w:history="1">
        <w:r>
          <w:rPr>
            <w:rStyle w:val="Hyperlink"/>
          </w:rPr>
          <w:t>Retour au menu et explications FR</w:t>
        </w:r>
      </w:hyperlink>
    </w:p>
    <w:p>
      <w:pPr>
        <w:pStyle w:val="Kop3"/>
        <w:keepNext/>
      </w:pPr>
      <w:r>
        <w:t xml:space="preserve">Mur extérieur porteur à ossature bois REI 60 </w:t>
      </w:r>
      <w:r>
        <w:rPr>
          <w:caps w:val="0"/>
        </w:rPr>
        <w:t xml:space="preserve">(o↔i)</w:t>
      </w:r>
    </w:p>
    <w:p>
      <w:pPr>
        <w:keepNext/>
        <w:ind w:left="720" w:firstLine="0"/>
      </w:pPr>
      <w:r>
        <w:rPr>
          <w:b/>
          <w:bCs/>
          <w:u w:val="single"/>
        </w:rPr>
        <w:t xml:space="preserve">Description</w:t>
      </w:r>
    </w:p>
    <w:p>
      <w:pPr>
        <w:ind w:left="720" w:firstLine="0"/>
      </w:pPr>
      <w:r>
        <w:t xml:space="preserve">Mur extérieur porteur à ossature bois présentant une résistance au feu REI 60 </w:t>
      </w:r>
      <w:r>
        <w:rPr>
          <w:caps w:val="0"/>
        </w:rPr>
        <w:t xml:space="preserve">(o↔i)</w:t>
      </w:r>
      <w:r>
        <w:t xml:space="preserve">. L’ossature en bois est entièrement remplie, sur toute sa profondeur, de ouate de cellulose insufflée. Elle est revêtue, côté extérieur, d’une plaque de plâtre résistante aux intempéries et, côté intérieur, d’un panneau de particules structurel étanche à l’air et d’une plaque de plâtre coupe-feu.</w:t>
      </w:r>
    </w:p>
    <w:p>
      <w:pPr>
        <w:ind w:left="720" w:firstLine="0"/>
      </w:pPr>
      <w:r>
        <w:t xml:space="preserve">Le panneau de particules, dont tous les joints sont rendus étanches, constitue la couche d’étanchéité à l’air et le frein-vapeur de la paroi. Une membrane intérieure séparée n’est pas nécessaire.</w:t>
      </w:r>
    </w:p>
    <w:p>
      <w:pPr>
        <w:keepNext/>
        <w:ind w:left="720" w:firstLine="0"/>
      </w:pPr>
      <w:r>
        <w:rPr>
          <w:b/>
          <w:bCs/>
          <w:u w:val="single"/>
        </w:rPr>
        <w:t xml:space="preserve">Matériel</w:t>
      </w:r>
    </w:p>
    <w:p>
      <w:pPr>
        <w:ind w:left="720" w:firstLine="0"/>
      </w:pPr>
      <w:r>
        <w:t xml:space="preserve">Composition de la paroi, de l’extérieur vers l’intérieur :</w:t>
      </w:r>
    </w:p>
    <w:p>
      <w:pPr>
        <w:pStyle w:val="Lijstalinea"/>
        <w:numPr>
          <w:ilvl w:val="0"/>
          <w:numId w:val="9"/>
        </w:numPr>
      </w:pPr>
      <w:r>
        <w:t xml:space="preserve">Parement extérieur selon l’article « Parement extérieur » : plaque de plâtre résistante aux intempéries, renforcée par un mat de fibres de verre ; épaisseur : 12,5 mm.</w:t>
      </w:r>
    </w:p>
    <w:p>
      <w:pPr>
        <w:pStyle w:val="Lijstalinea"/>
        <w:numPr>
          <w:ilvl w:val="0"/>
          <w:numId w:val="9"/>
        </w:numPr>
      </w:pPr>
      <w:r>
        <w:t xml:space="preserve">Montants selon l’article « Montants » : bois massif de construction aboudé C24 ; section : min. 45 × 180 mm ; entraxe : max. 400 mm.</w:t>
      </w:r>
    </w:p>
    <w:p>
      <w:pPr>
        <w:pStyle w:val="Lijstalinea"/>
        <w:numPr>
          <w:ilvl w:val="0"/>
          <w:numId w:val="9"/>
        </w:numPr>
      </w:pPr>
      <w:r>
        <w:t xml:space="preserve">Lisses basse et haute selon l’article « Lisses basse et haute ».</w:t>
      </w:r>
    </w:p>
    <w:p>
      <w:pPr>
        <w:pStyle w:val="Lijstalinea"/>
        <w:numPr>
          <w:ilvl w:val="0"/>
          <w:numId w:val="9"/>
        </w:numPr>
      </w:pPr>
      <w:r>
        <w:t xml:space="preserve">Isolation dans l’ossature selon l’article « Isolation » : ouate de cellulose insufflée ; épaisseur : toute la profondeur des montants, min. 180 mm ; masse volumique : min. 50 </w:t>
      </w:r>
      <w:r>
        <w:rPr>
          <w:caps w:val="0"/>
        </w:rPr>
        <w:t xml:space="preserve">kg/m³</w:t>
      </w:r>
      <w:r>
        <w:t xml:space="preserve">.</w:t>
      </w:r>
    </w:p>
    <w:p>
      <w:pPr>
        <w:pStyle w:val="Lijstalinea"/>
        <w:numPr>
          <w:ilvl w:val="0"/>
          <w:numId w:val="9"/>
        </w:numPr>
      </w:pPr>
      <w:r>
        <w:t xml:space="preserve">Membrane intérieure (pare-vapeur ou frein-vapeur) : sans objet. L’étanchéité à l’air et le frein-vapeur sont assurés par le parement intérieur 1, dont tous les joints sont rendus étanches selon l’article « Bande adhésive ».</w:t>
      </w:r>
    </w:p>
    <w:p>
      <w:pPr>
        <w:pStyle w:val="Lijstalinea"/>
        <w:numPr>
          <w:ilvl w:val="0"/>
          <w:numId w:val="9"/>
        </w:numPr>
      </w:pPr>
      <w:r>
        <w:t xml:space="preserve">Parement intérieur 1 selon l’article « Parement intérieur 1 » : panneau de particules structurel P5 étanche à l’air ; épaisseur : </w:t>
      </w:r>
      <w:r>
        <w:rPr>
          <w:color w:val="0070C0"/>
        </w:rPr>
        <w:t xml:space="preserve">12 / 13 mm</w:t>
      </w:r>
      <w:r>
        <w:t xml:space="preserve">.</w:t>
      </w:r>
      <w:r>
        <w:rPr>
          <w:rStyle w:val="Voetnootmarkering"/>
          <w:color w:val="F05133"/>
        </w:rPr>
        <w:footnoteReference w:id="19"/>
      </w:r>
    </w:p>
    <w:p>
      <w:pPr>
        <w:pStyle w:val="Lijstalinea"/>
        <w:numPr>
          <w:ilvl w:val="0"/>
          <w:numId w:val="9"/>
        </w:numPr>
      </w:pPr>
      <w:r>
        <w:t xml:space="preserve">Parement intérieur 2 selon l’article « Parement intérieur 2 » : plaque de plâtre coupe-feu de type DF ; épaisseur : 15 mm.</w:t>
      </w:r>
    </w:p>
    <w:p>
      <w:pPr>
        <w:pStyle w:val="Lijstalinea"/>
        <w:numPr>
          <w:ilvl w:val="0"/>
          <w:numId w:val="9"/>
        </w:numPr>
      </w:pPr>
      <w:r>
        <w:t xml:space="preserve">Épaisseur de la paroi (sans bardage ni vide technique) : min. 220 mm / </w:t>
      </w:r>
      <w:r>
        <w:rPr>
          <w:color w:val="0070C0"/>
        </w:rPr>
        <w:t xml:space="preserve">voir plans</w:t>
      </w:r>
      <w:r>
        <w:t xml:space="preserve">.</w:t>
      </w:r>
    </w:p>
    <w:p>
      <w:pPr>
        <w:pStyle w:val="Lijstalinea"/>
        <w:numPr>
          <w:ilvl w:val="0"/>
          <w:numId w:val="9"/>
        </w:numPr>
      </w:pPr>
      <w:r>
        <w:t xml:space="preserve">Valeur U de la paroi : max. </w:t>
      </w:r>
      <w:r>
        <w:rPr>
          <w:color w:val="0070C0"/>
        </w:rPr>
        <w:t xml:space="preserve">…</w:t>
      </w:r>
      <w:r>
        <w:t xml:space="preserve"> </w:t>
      </w:r>
      <w:r>
        <w:rPr>
          <w:caps w:val="0"/>
        </w:rPr>
        <w:t xml:space="preserve">W/(m²·K)</w:t>
      </w:r>
      <w:r>
        <w:t xml:space="preserve">.</w:t>
      </w:r>
    </w:p>
    <w:p>
      <w:pPr>
        <w:keepNext/>
        <w:ind w:left="720" w:firstLine="0"/>
      </w:pPr>
      <w:r>
        <w:rPr>
          <w:u w:val="single"/>
        </w:rPr>
        <w:t xml:space="preserve">Performances</w:t>
      </w:r>
    </w:p>
    <w:p>
      <w:pPr>
        <w:pStyle w:val="Lijstalinea"/>
        <w:numPr>
          <w:ilvl w:val="0"/>
          <w:numId w:val="9"/>
        </w:numPr>
      </w:pPr>
      <w:r>
        <w:t xml:space="preserve">Résistance au feu selon la NBN EN 13501-2:2023 : </w:t>
      </w:r>
      <w:r>
        <w:rPr>
          <w:b/>
          <w:bCs/>
        </w:rPr>
        <w:t xml:space="preserve">REI 60 </w:t>
      </w:r>
      <w:r>
        <w:rPr>
          <w:b/>
          <w:bCs/>
          <w:caps w:val="0"/>
        </w:rPr>
        <w:t xml:space="preserve">(o↔i)</w:t>
      </w:r>
      <w:r>
        <w:t xml:space="preserve">, ainsi que REW 60 </w:t>
      </w:r>
      <w:r>
        <w:rPr>
          <w:caps w:val="0"/>
        </w:rPr>
        <w:t xml:space="preserve">(o↔i)</w:t>
      </w:r>
      <w:r>
        <w:t xml:space="preserve"> et RE 60 </w:t>
      </w:r>
      <w:r>
        <w:rPr>
          <w:caps w:val="0"/>
        </w:rPr>
        <w:t xml:space="preserve">(o↔i)</w:t>
      </w:r>
      <w:r>
        <w:t xml:space="preserve">. Le classement est valable en cas d’incendie côté extérieur comme côté intérieur.</w:t>
      </w:r>
    </w:p>
    <w:p>
      <w:pPr>
        <w:pStyle w:val="Lijstalinea"/>
        <w:numPr>
          <w:ilvl w:val="0"/>
          <w:numId w:val="9"/>
        </w:numPr>
      </w:pPr>
      <w:r>
        <w:t xml:space="preserve">Avant le début des travaux, l’entrepreneur remet un rapport de classement selon la NBN EN 13501-2, établi par un laboratoire agréé sur la base d’essais au feu selon la NBN EN 1365-1 dans les deux sens d’exposition, pour la composition complète de la paroi telle que décrite dans le présent article. Tous les composants de la paroi exécutée correspondent au rapport de classement. La pose est entièrement conforme aux conditions de pose mentionnées dans le rapport de classement.</w:t>
      </w:r>
      <w:r>
        <w:rPr>
          <w:rStyle w:val="Voetnootmarkering"/>
          <w:color w:val="F05133"/>
        </w:rPr>
        <w:footnoteReference w:id="20"/>
      </w:r>
    </w:p>
    <w:p>
      <w:pPr>
        <w:pStyle w:val="Lijstalinea"/>
        <w:numPr>
          <w:ilvl w:val="0"/>
          <w:numId w:val="9"/>
        </w:numPr>
      </w:pPr>
      <w:r>
        <w:t xml:space="preserve">La paroi exécutée reste dans le domaine d’application directe (direct field of application) du classement :</w:t>
      </w:r>
      <w:r>
        <w:rPr>
          <w:rStyle w:val="Voetnootmarkering"/>
          <w:color w:val="F05133"/>
        </w:rPr>
        <w:footnoteReference w:id="21"/>
      </w:r>
    </w:p>
    <w:p>
      <w:pPr>
        <w:pStyle w:val="Lijstalinea"/>
        <w:numPr>
          <w:ilvl w:val="1"/>
          <w:numId w:val="9"/>
        </w:numPr>
      </w:pPr>
      <w:r>
        <w:t xml:space="preserve">hauteur de paroi : max. 3.000 mm ; largeur de paroi : illimitée ;</w:t>
      </w:r>
    </w:p>
    <w:p>
      <w:pPr>
        <w:pStyle w:val="Lijstalinea"/>
        <w:numPr>
          <w:ilvl w:val="1"/>
          <w:numId w:val="9"/>
        </w:numPr>
      </w:pPr>
      <w:r>
        <w:t xml:space="preserve">épaisseur de paroi : min. 220 mm ; profondeur des montants et épaisseur d’isolation : min. 180 mm ;</w:t>
      </w:r>
    </w:p>
    <w:p>
      <w:pPr>
        <w:pStyle w:val="Lijstalinea"/>
        <w:numPr>
          <w:ilvl w:val="1"/>
          <w:numId w:val="9"/>
        </w:numPr>
      </w:pPr>
      <w:r>
        <w:t xml:space="preserve">entraxe des montants : max. 400 mm ;</w:t>
      </w:r>
    </w:p>
    <w:p>
      <w:pPr>
        <w:pStyle w:val="Lijstalinea"/>
        <w:numPr>
          <w:ilvl w:val="1"/>
          <w:numId w:val="9"/>
        </w:numPr>
      </w:pPr>
      <w:r>
        <w:t xml:space="preserve">épaisseurs des panneaux : pas inférieures à celles testées ; dimensions des panneaux et entraxes de fixation : pas supérieurs à ceux testés (voir les articles des panneaux) ; le nombre de joints horizontaux peut augmenter ;</w:t>
      </w:r>
    </w:p>
    <w:p>
      <w:pPr>
        <w:pStyle w:val="Lijstalinea"/>
        <w:numPr>
          <w:ilvl w:val="1"/>
          <w:numId w:val="9"/>
        </w:numPr>
      </w:pPr>
      <w:r>
        <w:t xml:space="preserve">charge axiale uniformément répartie : max. 40 kN/m ou max. 4.077 kg/m.</w:t>
      </w:r>
      <w:r>
        <w:rPr>
          <w:rStyle w:val="Voetnootmarkering"/>
          <w:color w:val="F05133"/>
        </w:rPr>
        <w:footnoteReference w:id="22"/>
      </w:r>
    </w:p>
    <w:p>
      <w:pPr>
        <w:keepNext/>
        <w:ind w:left="720" w:firstLine="0"/>
      </w:pPr>
      <w:r>
        <w:rPr>
          <w:b/>
          <w:bCs/>
          <w:u w:val="single"/>
        </w:rPr>
        <w:t xml:space="preserve">Spécifications complémentaires </w:t>
      </w:r>
      <w:r>
        <w:rPr>
          <w:b/>
          <w:bCs/>
          <w:color w:val="0070C0"/>
          <w:u w:val="single"/>
        </w:rPr>
        <w:t xml:space="preserve">(à supprimer par le concepteur si non applicable)</w:t>
      </w:r>
    </w:p>
    <w:p>
      <w:pPr>
        <w:pStyle w:val="Lijstalinea"/>
        <w:numPr>
          <w:ilvl w:val="0"/>
          <w:numId w:val="9"/>
        </w:numPr>
      </w:pPr>
      <w:r>
        <w:rPr>
          <w:color w:val="0070C0"/>
        </w:rPr>
        <w:t xml:space="preserve">Un vide technique est prévu. Côté intérieur, les éléments suivants sont encore prévus contre la composition décrite ci-dessus :</w:t>
      </w:r>
      <w:r>
        <w:rPr>
          <w:rStyle w:val="Voetnootmarkering"/>
          <w:color w:val="F05133"/>
        </w:rPr>
        <w:footnoteReference w:id="23"/>
      </w:r>
    </w:p>
    <w:p>
      <w:pPr>
        <w:pStyle w:val="Lijstalinea"/>
        <w:numPr>
          <w:ilvl w:val="1"/>
          <w:numId w:val="9"/>
        </w:numPr>
      </w:pPr>
      <w:r>
        <w:rPr>
          <w:color w:val="0070C0"/>
        </w:rPr>
        <w:t xml:space="preserve">Structure de lattage pour la finition intérieure selon l’article « Vide technique » : bois ; profondeur : … mm.</w:t>
      </w:r>
    </w:p>
    <w:p>
      <w:pPr>
        <w:pStyle w:val="Lijstalinea"/>
        <w:numPr>
          <w:ilvl w:val="1"/>
          <w:numId w:val="9"/>
        </w:numPr>
      </w:pPr>
      <w:r>
        <w:rPr>
          <w:color w:val="0070C0"/>
        </w:rPr>
        <w:t xml:space="preserve">Parement : plaque de plâtre / plaque de plâtre renforcée de fibres / … ; épaisseur : … mm.</w:t>
      </w:r>
    </w:p>
    <w:p>
      <w:pPr>
        <w:pStyle w:val="Lijstalinea"/>
        <w:numPr>
          <w:ilvl w:val="0"/>
          <w:numId w:val="9"/>
        </w:numPr>
      </w:pPr>
      <w:r>
        <w:rPr>
          <w:color w:val="0070C0"/>
        </w:rPr>
        <w:t xml:space="preserve">Finition de façade : système de bardage ventilé selon le chapitre … / …</w:t>
      </w:r>
      <w:r>
        <w:t xml:space="preserve">.</w:t>
      </w:r>
      <w:r>
        <w:rPr>
          <w:rStyle w:val="Voetnootmarkering"/>
          <w:color w:val="F05133"/>
        </w:rPr>
        <w:footnoteReference w:id="24"/>
      </w:r>
    </w:p>
    <w:p>
      <w:pPr>
        <w:keepNext/>
        <w:ind w:left="720" w:firstLine="0"/>
      </w:pPr>
      <w:r>
        <w:rPr>
          <w:b/>
          <w:bCs/>
          <w:u w:val="single"/>
        </w:rPr>
        <w:t xml:space="preserve">Mise en œuvre</w:t>
      </w:r>
    </w:p>
    <w:p>
      <w:pPr>
        <w:pStyle w:val="Lijstalinea"/>
        <w:numPr>
          <w:ilvl w:val="0"/>
          <w:numId w:val="9"/>
        </w:numPr>
      </w:pPr>
      <w:r>
        <w:t xml:space="preserve">Les dispositions des STS 23-1 Constructions à ossature en bois sont d’application.</w:t>
      </w:r>
    </w:p>
    <w:p>
      <w:pPr>
        <w:pStyle w:val="Lijstalinea"/>
        <w:numPr>
          <w:ilvl w:val="0"/>
          <w:numId w:val="9"/>
        </w:numPr>
      </w:pPr>
      <w:r>
        <w:t xml:space="preserve">La paroi est exécutée selon la composition décrite, avec les moyens de fixation et les entraxes ci-dessous. Cette fixation fait partie de l’ensemble testé et ne relève donc pas du libre choix de l’entrepreneur.</w:t>
      </w:r>
    </w:p>
    <w:p>
      <w:pPr>
        <w:pStyle w:val="Lijstalinea"/>
        <w:numPr>
          <w:ilvl w:val="1"/>
          <w:numId w:val="9"/>
        </w:numPr>
      </w:pPr>
      <w:r>
        <w:t xml:space="preserve">parement extérieur : agrafes en acier, 1,5 × 50 mm, largeur du dos 11 mm ; entraxe max. 100 mm sur les bords et au centre du panneau ;</w:t>
      </w:r>
    </w:p>
    <w:p>
      <w:pPr>
        <w:pStyle w:val="Lijstalinea"/>
        <w:numPr>
          <w:ilvl w:val="1"/>
          <w:numId w:val="9"/>
        </w:numPr>
      </w:pPr>
      <w:r>
        <w:t xml:space="preserve">parement intérieur 1 : agrafes en acier, 1,5 × 50 mm, largeur du dos 11 mm ; entraxe max. 150 mm sur les bords et max. 300 mm au centre du panneau ;</w:t>
      </w:r>
    </w:p>
    <w:p>
      <w:pPr>
        <w:pStyle w:val="Lijstalinea"/>
        <w:numPr>
          <w:ilvl w:val="1"/>
          <w:numId w:val="9"/>
        </w:numPr>
      </w:pPr>
      <w:r>
        <w:t xml:space="preserve">parement intérieur 2 : agrafes en acier, 1,4 × 55 mm, largeur du dos 11,2 mm ; entraxe max. 100 mm sur les bords verticaux et max. 200 mm au centre du panneau ;</w:t>
      </w:r>
    </w:p>
    <w:p>
      <w:pPr>
        <w:pStyle w:val="Lijstalinea"/>
        <w:numPr>
          <w:ilvl w:val="1"/>
          <w:numId w:val="9"/>
        </w:numPr>
      </w:pPr>
      <w:r>
        <w:t xml:space="preserve">montants aux lisses basse et haute : selon l’étude de stabilité.</w:t>
      </w:r>
      <w:r>
        <w:rPr>
          <w:rStyle w:val="Voetnootmarkering"/>
          <w:color w:val="F05133"/>
        </w:rPr>
        <w:footnoteReference w:id="25"/>
      </w:r>
    </w:p>
    <w:p>
      <w:pPr>
        <w:pStyle w:val="Lijstalinea"/>
        <w:numPr>
          <w:ilvl w:val="0"/>
          <w:numId w:val="9"/>
        </w:numPr>
      </w:pPr>
      <w:r>
        <w:t xml:space="preserve">Les joints verticaux de tous les parements se situent au droit d’un montant. Les joints du parement intérieur 1 et du parement intérieur 2 sont décalés les uns par rapport aux autres.</w:t>
      </w:r>
    </w:p>
    <w:p>
      <w:pPr>
        <w:pStyle w:val="Lijstalinea"/>
        <w:numPr>
          <w:ilvl w:val="0"/>
          <w:numId w:val="9"/>
        </w:numPr>
      </w:pPr>
      <w:r>
        <w:t xml:space="preserve">Les joints des plaques de plâtre sont finis selon le degré de finition demandé.</w:t>
      </w:r>
      <w:r>
        <w:rPr>
          <w:rStyle w:val="Voetnootmarkering"/>
          <w:color w:val="F05133"/>
        </w:rPr>
        <w:footnoteReference w:id="26"/>
      </w:r>
    </w:p>
    <w:p>
      <w:pPr>
        <w:pStyle w:val="Lijstalinea"/>
        <w:numPr>
          <w:ilvl w:val="0"/>
          <w:numId w:val="9"/>
        </w:numPr>
      </w:pPr>
      <w:r>
        <w:t xml:space="preserve">Le système de bardage est fixé dans les montants, à travers le parement extérieur. Il n’est pas ancré uniquement dans le parement extérieur ou dans l’isolation.</w:t>
      </w:r>
    </w:p>
    <w:p>
      <w:pPr>
        <w:pStyle w:val="Lijstalinea"/>
        <w:numPr>
          <w:ilvl w:val="0"/>
          <w:numId w:val="9"/>
        </w:numPr>
      </w:pPr>
      <w:r>
        <w:t xml:space="preserve">Les traversées de la paroi sont rendues étanches au feu à l’aide de produits testés à cet effet dans une paroi légère, selon les prescriptions de leur fabricant.</w:t>
      </w:r>
    </w:p>
    <w:p>
      <w:pPr>
        <w:pStyle w:val="Lijstalinea"/>
        <w:numPr>
          <w:ilvl w:val="0"/>
          <w:numId w:val="9"/>
        </w:numPr>
      </w:pPr>
      <w:r>
        <w:t xml:space="preserve">Lorsque la paroi est préfabriquée en atelier, l’entrepreneur protège les éléments contre l’humidité et les dommages pendant le transport, le stockage et le montage. Les panneaux endommagés sont remplacés.</w:t>
      </w:r>
    </w:p>
    <w:p>
      <w:pPr>
        <w:keepNext/>
        <w:ind w:left="720" w:firstLine="0"/>
      </w:pPr>
      <w:r>
        <w:rPr>
          <w:b/>
          <w:bCs/>
          <w:u w:val="single"/>
        </w:rPr>
        <w:t xml:space="preserve">Mesure</w:t>
      </w:r>
    </w:p>
    <w:p>
      <w:pPr>
        <w:pStyle w:val="Lijstalinea"/>
        <w:numPr>
          <w:ilvl w:val="0"/>
          <w:numId w:val="9"/>
        </w:numPr>
      </w:pPr>
      <w:r>
        <w:t xml:space="preserve">Unité de mesure : </w:t>
      </w:r>
      <w:r>
        <w:rPr>
          <w:caps w:val="0"/>
        </w:rPr>
        <w:t xml:space="preserve">m²</w:t>
      </w:r>
      <w:r>
        <w:t xml:space="preserve">.</w:t>
      </w:r>
    </w:p>
    <w:p>
      <w:pPr>
        <w:pStyle w:val="Lijstalinea"/>
        <w:numPr>
          <w:ilvl w:val="0"/>
          <w:numId w:val="9"/>
        </w:numPr>
      </w:pPr>
      <w:r>
        <w:t xml:space="preserve">Code de mesurage : surface nette ; les ouvertures inférieures à 0,5 </w:t>
      </w:r>
      <w:r>
        <w:rPr>
          <w:caps w:val="0"/>
        </w:rPr>
        <w:t xml:space="preserve">m²</w:t>
      </w:r>
      <w:r>
        <w:t xml:space="preserve"> ne sont pas déduites. Sont compris : toutes les couches de la composition de paroi, l’isolation, la bande adhésive sur les joints de panneaux, tous les moyens de fixation, la fermeture des orifices d’insufflation, l’éventuelle préfabrication et le montage, ainsi que les mesures de protection.</w:t>
      </w:r>
    </w:p>
    <w:p>
      <w:pPr>
        <w:pStyle w:val="Lijstalinea"/>
        <w:numPr>
          <w:ilvl w:val="0"/>
          <w:numId w:val="9"/>
        </w:numPr>
      </w:pPr>
      <w:r>
        <w:t xml:space="preserve">Nature du marché : quantité forfaitaire (QF).</w:t>
      </w:r>
    </w:p>
    <w:p>
      <w:pPr>
        <w:keepNext/>
        <w:ind w:left="720" w:firstLine="0"/>
      </w:pPr>
      <w:r>
        <w:rPr>
          <w:b/>
          <w:bCs/>
          <w:u w:val="single"/>
        </w:rPr>
        <w:t xml:space="preserve">Application / localisation</w:t>
      </w:r>
    </w:p>
    <w:p>
      <w:pPr>
        <w:ind w:left="720" w:firstLine="0"/>
      </w:pPr>
      <w:r>
        <w:rPr>
          <w:color w:val="0070C0"/>
        </w:rPr>
        <w:t xml:space="preserve">Tous les murs extérieurs porteurs soumis à une exigence de résistance au feu REI 60 / … selon les plans / ….</w:t>
      </w:r>
    </w:p>
    <w:p>
      <w:pPr>
        <w:pStyle w:val="Kop3"/>
        <w:keepNext/>
      </w:pPr>
      <w:r>
        <w:t xml:space="preserve">Parement extérieur - plaque de plâtre renforcée par un mat de fibres de verre</w:t>
      </w:r>
    </w:p>
    <w:p>
      <w:pPr>
        <w:keepNext/>
        <w:ind w:left="720" w:firstLine="0"/>
      </w:pPr>
      <w:r>
        <w:rPr>
          <w:b/>
          <w:bCs/>
          <w:u w:val="single"/>
        </w:rPr>
        <w:t xml:space="preserve">Description</w:t>
      </w:r>
    </w:p>
    <w:p>
      <w:pPr>
        <w:ind w:left="720" w:firstLine="0"/>
      </w:pPr>
      <w:r>
        <w:t xml:space="preserve">Plaque de plâtre résistante aux intempéries utilisée comme parement extérieur de la paroi à ossature bois. La plaque constitue la couche étanche au vent et protège la paroi contre les intempéries pendant la phase de construction, jusqu’à la pose du bardage.</w:t>
      </w:r>
    </w:p>
    <w:p>
      <w:pPr>
        <w:keepNext/>
        <w:ind w:left="720" w:firstLine="0"/>
      </w:pPr>
      <w:r>
        <w:rPr>
          <w:b/>
          <w:bCs/>
          <w:u w:val="single"/>
        </w:rPr>
        <w:t xml:space="preserve">Matériel</w:t>
      </w:r>
    </w:p>
    <w:p>
      <w:pPr>
        <w:pStyle w:val="Lijstalinea"/>
        <w:numPr>
          <w:ilvl w:val="0"/>
          <w:numId w:val="9"/>
        </w:numPr>
      </w:pPr>
      <w:r>
        <w:t xml:space="preserve">Plaque de plâtre hydrofugée, renforcée sur les deux faces par un mat de fibres de verre, conforme à la NBN EN 15283-1 (plaques de plâtre armées de mat), avec marquage CE et déclaration des performances (DoP).</w:t>
      </w:r>
    </w:p>
    <w:p>
      <w:pPr>
        <w:keepNext/>
        <w:ind w:left="720" w:firstLine="0"/>
      </w:pPr>
      <w:r>
        <w:rPr>
          <w:u w:val="single"/>
        </w:rPr>
        <w:t xml:space="preserve">Spécifications</w:t>
      </w:r>
    </w:p>
    <w:p>
      <w:pPr>
        <w:pStyle w:val="Lijstalinea"/>
        <w:numPr>
          <w:ilvl w:val="0"/>
          <w:numId w:val="9"/>
        </w:numPr>
      </w:pPr>
      <w:r>
        <w:t xml:space="preserve">Type (selon la NBN EN 15283-1) : GM-F-H1-I-R.</w:t>
      </w:r>
    </w:p>
    <w:p>
      <w:pPr>
        <w:pStyle w:val="Lijstalinea"/>
        <w:numPr>
          <w:ilvl w:val="0"/>
          <w:numId w:val="9"/>
        </w:numPr>
      </w:pPr>
      <w:r>
        <w:t xml:space="preserve">Réaction au feu (selon la NBN EN 13501-1) : A1.</w:t>
      </w:r>
    </w:p>
    <w:p>
      <w:pPr>
        <w:pStyle w:val="Lijstalinea"/>
        <w:numPr>
          <w:ilvl w:val="0"/>
          <w:numId w:val="9"/>
        </w:numPr>
      </w:pPr>
      <w:r>
        <w:t xml:space="preserve">Épaisseur : 12,5 mm.</w:t>
      </w:r>
    </w:p>
    <w:p>
      <w:pPr>
        <w:pStyle w:val="Lijstalinea"/>
        <w:numPr>
          <w:ilvl w:val="0"/>
          <w:numId w:val="9"/>
        </w:numPr>
      </w:pPr>
      <w:r>
        <w:t xml:space="preserve">Dimensions : largeur max. 1.200 mm ; longueur max. 2.400 mm.</w:t>
      </w:r>
      <w:r>
        <w:rPr>
          <w:rStyle w:val="Voetnootmarkering"/>
          <w:color w:val="F05133"/>
        </w:rPr>
        <w:footnoteReference w:id="27"/>
      </w:r>
    </w:p>
    <w:p>
      <w:pPr>
        <w:pStyle w:val="Lijstalinea"/>
        <w:numPr>
          <w:ilvl w:val="0"/>
          <w:numId w:val="9"/>
        </w:numPr>
      </w:pPr>
      <w:r>
        <w:t xml:space="preserve">Finition des bords : bords droits.</w:t>
      </w:r>
    </w:p>
    <w:p>
      <w:pPr>
        <w:pStyle w:val="Lijstalinea"/>
        <w:numPr>
          <w:ilvl w:val="0"/>
          <w:numId w:val="9"/>
        </w:numPr>
      </w:pPr>
      <w:r>
        <w:t xml:space="preserve">Masse volumique nominale : 860 </w:t>
      </w:r>
      <w:r>
        <w:rPr>
          <w:caps w:val="0"/>
        </w:rPr>
        <w:t xml:space="preserve">kg/m³</w:t>
      </w:r>
      <w:r>
        <w:t xml:space="preserve"> ; poids : env. 10,8 kg/</w:t>
      </w:r>
      <w:r>
        <w:rPr>
          <w:caps w:val="0"/>
        </w:rPr>
        <w:t xml:space="preserve">m²</w:t>
      </w:r>
      <w:r>
        <w:t xml:space="preserve">.</w:t>
      </w:r>
    </w:p>
    <w:p>
      <w:pPr>
        <w:pStyle w:val="Lijstalinea"/>
        <w:numPr>
          <w:ilvl w:val="0"/>
          <w:numId w:val="9"/>
        </w:numPr>
      </w:pPr>
      <w:r>
        <w:t xml:space="preserve">Absorption d’eau (2 h) : &lt; 3 % ; absorption d’eau en surface : &lt; 100 g/</w:t>
      </w:r>
      <w:r>
        <w:rPr>
          <w:caps w:val="0"/>
        </w:rPr>
        <w:t xml:space="preserve">m²</w:t>
      </w:r>
      <w:r>
        <w:t xml:space="preserve">.</w:t>
      </w:r>
    </w:p>
    <w:p>
      <w:pPr>
        <w:pStyle w:val="Lijstalinea"/>
        <w:numPr>
          <w:ilvl w:val="0"/>
          <w:numId w:val="9"/>
        </w:numPr>
      </w:pPr>
      <w:r>
        <w:t xml:space="preserve">Épaisseur équivalente de la couche d’air sd : 0,12 m (ouverte à la diffusion de vapeur vers l’extérieur).</w:t>
      </w:r>
    </w:p>
    <w:p>
      <w:pPr>
        <w:pStyle w:val="Lijstalinea"/>
        <w:numPr>
          <w:ilvl w:val="0"/>
          <w:numId w:val="9"/>
        </w:numPr>
      </w:pPr>
      <w:r>
        <w:t xml:space="preserve">Capacité de protection contre l’incendie (selon la NBN EN 14135) : K2 10.</w:t>
      </w:r>
    </w:p>
    <w:p>
      <w:pPr>
        <w:keepNext/>
        <w:ind w:left="720" w:firstLine="0"/>
      </w:pPr>
      <w:r>
        <w:rPr>
          <w:b/>
          <w:bCs/>
          <w:u w:val="single"/>
        </w:rPr>
        <w:t xml:space="preserve">Mise en œuvre</w:t>
      </w:r>
    </w:p>
    <w:p>
      <w:pPr>
        <w:pStyle w:val="Lijstalinea"/>
        <w:numPr>
          <w:ilvl w:val="0"/>
          <w:numId w:val="9"/>
        </w:numPr>
      </w:pPr>
      <w:r>
        <w:t xml:space="preserve">Les plaques sont posées selon les prescriptions du fabricant et fixées comme décrit à l’article « Mur extérieur porteur à ossature bois REI 60 </w:t>
      </w:r>
      <w:r>
        <w:rPr>
          <w:caps w:val="0"/>
        </w:rPr>
        <w:t xml:space="preserve">(o↔i)</w:t>
      </w:r>
      <w:r>
        <w:t xml:space="preserve"> » : agrafes 1,5 × 50 mm, largeur du dos 11 mm, entraxe max. 100 mm sur les bords et au centre du panneau.</w:t>
      </w:r>
    </w:p>
    <w:p>
      <w:pPr>
        <w:pStyle w:val="Lijstalinea"/>
        <w:numPr>
          <w:ilvl w:val="0"/>
          <w:numId w:val="9"/>
        </w:numPr>
      </w:pPr>
      <w:r>
        <w:t xml:space="preserve">La fixation respecte une distance au bord suffisante (min. 11 mm) pour éviter l’arrachement de la plaque, en particulier lors de l’insufflation de l’isolation (voir l’article « Isolation »).</w:t>
      </w:r>
      <w:r>
        <w:rPr>
          <w:rStyle w:val="Voetnootmarkering"/>
          <w:color w:val="F05133"/>
        </w:rPr>
        <w:footnoteReference w:id="28"/>
      </w:r>
    </w:p>
    <w:p>
      <w:pPr>
        <w:pStyle w:val="Lijstalinea"/>
        <w:numPr>
          <w:ilvl w:val="0"/>
          <w:numId w:val="9"/>
        </w:numPr>
      </w:pPr>
      <w:r>
        <w:rPr>
          <w:color w:val="0070C0"/>
        </w:rPr>
        <w:t xml:space="preserve">Si la plaque reste exposée aux intempéries avant la pose du bardage, les joints sont rendus étanches avec </w:t>
      </w:r>
      <w:r>
        <w:rPr>
          <w:color w:val="0070C0"/>
        </w:rPr>
        <w:t xml:space="preserve">la bande adhésive prescrite par le fabricant.</w:t>
      </w:r>
      <w:r>
        <w:rPr>
          <w:rStyle w:val="Voetnootmarkering"/>
          <w:color w:val="F05133"/>
        </w:rPr>
        <w:footnoteReference w:id="29"/>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Parement extérieur du mur extérieur REI 60.</w:t>
      </w:r>
    </w:p>
    <w:p>
      <w:pPr>
        <w:pStyle w:val="Kop3"/>
        <w:keepNext/>
      </w:pPr>
      <w:r>
        <w:t xml:space="preserve">Montants - bois massif</w:t>
      </w:r>
    </w:p>
    <w:p>
      <w:pPr>
        <w:keepNext/>
        <w:ind w:left="720" w:firstLine="0"/>
      </w:pPr>
      <w:r>
        <w:rPr>
          <w:b/>
          <w:bCs/>
          <w:u w:val="single"/>
        </w:rPr>
        <w:t xml:space="preserve">Description</w:t>
      </w:r>
    </w:p>
    <w:p>
      <w:pPr>
        <w:ind w:left="720" w:firstLine="0"/>
      </w:pPr>
      <w:r>
        <w:t xml:space="preserve">Les montants en bois massif constituent la structure portante verticale de la paroi à ossature bois. Ils sont posés à intervalles réguliers et reliés en bas et en haut à une lisse basse et une lisse haute.</w:t>
      </w:r>
    </w:p>
    <w:p>
      <w:pPr>
        <w:keepNext/>
        <w:ind w:left="720" w:firstLine="0"/>
      </w:pPr>
      <w:r>
        <w:rPr>
          <w:b/>
          <w:bCs/>
          <w:u w:val="single"/>
        </w:rPr>
        <w:t xml:space="preserve">Matériel</w:t>
      </w:r>
    </w:p>
    <w:p>
      <w:pPr>
        <w:pStyle w:val="Lijstalinea"/>
        <w:numPr>
          <w:ilvl w:val="0"/>
          <w:numId w:val="9"/>
        </w:numPr>
      </w:pPr>
      <w:r>
        <w:t xml:space="preserve">bois massif de construction aboudé et séché artificiellement, en épicéa européen, classé pour la résistance selon la NBN EN 14081-1 et muni du marquage CE ; aboutages selon la NBN EN 15497.</w:t>
      </w:r>
    </w:p>
    <w:p>
      <w:pPr>
        <w:pStyle w:val="Lijstalinea"/>
        <w:numPr>
          <w:ilvl w:val="0"/>
          <w:numId w:val="9"/>
        </w:numPr>
      </w:pPr>
      <w:r>
        <w:t xml:space="preserve">Classe de résistance (selon la NBN EN 338) : min. C24.</w:t>
      </w:r>
    </w:p>
    <w:p>
      <w:pPr>
        <w:pStyle w:val="Lijstalinea"/>
        <w:numPr>
          <w:ilvl w:val="0"/>
          <w:numId w:val="9"/>
        </w:numPr>
      </w:pPr>
      <w:r>
        <w:t xml:space="preserve">Humidité du bois à la mise en œuvre : max. 15 % (± 3 %).</w:t>
      </w:r>
    </w:p>
    <w:p>
      <w:pPr>
        <w:pStyle w:val="Lijstalinea"/>
        <w:numPr>
          <w:ilvl w:val="0"/>
          <w:numId w:val="9"/>
        </w:numPr>
      </w:pPr>
      <w:r>
        <w:t xml:space="preserve">Tolérance : classe 2 selon la NBN EN 336.</w:t>
      </w:r>
    </w:p>
    <w:p>
      <w:pPr>
        <w:pStyle w:val="Lijstalinea"/>
        <w:numPr>
          <w:ilvl w:val="0"/>
          <w:numId w:val="9"/>
        </w:numPr>
      </w:pPr>
      <w:r>
        <w:t xml:space="preserve">Le bois porte un label FSC 100 % ou PEFC et le fournisseur dispose d’une certification FSC ou PEFC CoC.</w:t>
      </w:r>
    </w:p>
    <w:p>
      <w:pPr>
        <w:pStyle w:val="Lijstalinea"/>
        <w:numPr>
          <w:ilvl w:val="0"/>
          <w:numId w:val="9"/>
        </w:numPr>
      </w:pPr>
      <w:r>
        <w:t xml:space="preserve">Traitement de préservation : </w:t>
      </w:r>
      <w:r>
        <w:rPr>
          <w:color w:val="0070C0"/>
        </w:rPr>
        <w:t xml:space="preserve">procédé A2.1 selon les STS 04.3.1.3 et la NBN EN 351-1 / non requis en classe d’emploi 1 …</w:t>
      </w:r>
      <w:r>
        <w:t xml:space="preserve">.</w:t>
      </w:r>
    </w:p>
    <w:p>
      <w:pPr>
        <w:keepNext/>
        <w:ind w:left="720" w:firstLine="0"/>
      </w:pPr>
      <w:r>
        <w:rPr>
          <w:u w:val="single"/>
        </w:rPr>
        <w:t xml:space="preserve">Spécifications</w:t>
      </w:r>
    </w:p>
    <w:p>
      <w:pPr>
        <w:pStyle w:val="Lijstalinea"/>
        <w:numPr>
          <w:ilvl w:val="0"/>
          <w:numId w:val="9"/>
        </w:numPr>
      </w:pPr>
      <w:r>
        <w:t xml:space="preserve">Section : min. 45 × 180 mm (largeur × profondeur).</w:t>
      </w:r>
      <w:r>
        <w:rPr>
          <w:rStyle w:val="Voetnootmarkering"/>
          <w:color w:val="F05133"/>
        </w:rPr>
        <w:footnoteReference w:id="30"/>
      </w:r>
    </w:p>
    <w:p>
      <w:pPr>
        <w:pStyle w:val="Lijstalinea"/>
        <w:numPr>
          <w:ilvl w:val="0"/>
          <w:numId w:val="9"/>
        </w:numPr>
      </w:pPr>
      <w:r>
        <w:t xml:space="preserve">Entraxe : max. 400 mm.</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Montants du mur extérieur REI 60.</w:t>
      </w:r>
    </w:p>
    <w:p>
      <w:pPr>
        <w:pStyle w:val="Kop3"/>
        <w:keepNext/>
      </w:pPr>
      <w:r>
        <w:t xml:space="preserve">Lisses basse et haute - bois massif</w:t>
      </w:r>
    </w:p>
    <w:p>
      <w:pPr>
        <w:keepNext/>
        <w:ind w:left="720" w:firstLine="0"/>
      </w:pPr>
      <w:r>
        <w:rPr>
          <w:b/>
          <w:bCs/>
          <w:u w:val="single"/>
        </w:rPr>
        <w:t xml:space="preserve">Description</w:t>
      </w:r>
    </w:p>
    <w:p>
      <w:pPr>
        <w:ind w:left="720" w:firstLine="0"/>
      </w:pPr>
      <w:r>
        <w:t xml:space="preserve">Les montants sont reliés en bas à une lisse basse et en haut à une lisse haute.</w:t>
      </w:r>
    </w:p>
    <w:p>
      <w:pPr>
        <w:keepNext/>
        <w:ind w:left="720" w:firstLine="0"/>
      </w:pPr>
      <w:r>
        <w:rPr>
          <w:b/>
          <w:bCs/>
          <w:u w:val="single"/>
        </w:rPr>
        <w:t xml:space="preserve">Matériel</w:t>
      </w:r>
    </w:p>
    <w:p>
      <w:pPr>
        <w:pStyle w:val="Lijstalinea"/>
        <w:numPr>
          <w:ilvl w:val="0"/>
          <w:numId w:val="9"/>
        </w:numPr>
      </w:pPr>
      <w:r>
        <w:t xml:space="preserve">Même essence, classe de résistance et qualité que les montants selon l’article « Montants ».</w:t>
      </w:r>
    </w:p>
    <w:p>
      <w:pPr>
        <w:keepNext/>
        <w:ind w:left="720" w:firstLine="0"/>
      </w:pPr>
      <w:r>
        <w:rPr>
          <w:u w:val="single"/>
        </w:rPr>
        <w:t xml:space="preserve">Spécifications</w:t>
      </w:r>
    </w:p>
    <w:p>
      <w:pPr>
        <w:pStyle w:val="Lijstalinea"/>
        <w:numPr>
          <w:ilvl w:val="0"/>
          <w:numId w:val="9"/>
        </w:numPr>
      </w:pPr>
      <w:r>
        <w:t xml:space="preserve">Section : min. 45 × 180 mm ; la largeur de la lisse est égale à la profondeur des montants.</w:t>
      </w:r>
    </w:p>
    <w:p>
      <w:pPr>
        <w:keepNext/>
        <w:ind w:left="720" w:firstLine="0"/>
      </w:pPr>
      <w:r>
        <w:rPr>
          <w:b/>
          <w:bCs/>
          <w:u w:val="single"/>
        </w:rPr>
        <w:t xml:space="preserve">Mise en œuvre</w:t>
      </w:r>
    </w:p>
    <w:p>
      <w:pPr>
        <w:pStyle w:val="Lijstalinea"/>
        <w:numPr>
          <w:ilvl w:val="0"/>
          <w:numId w:val="9"/>
        </w:numPr>
      </w:pPr>
      <w:r>
        <w:t xml:space="preserve">L’assemblage entre montants et lisses est réalisé selon l’étude de stabilité.</w:t>
      </w:r>
    </w:p>
    <w:p>
      <w:pPr>
        <w:pStyle w:val="Lijstalinea"/>
        <w:numPr>
          <w:ilvl w:val="0"/>
          <w:numId w:val="9"/>
        </w:numPr>
      </w:pPr>
      <w:r>
        <w:t xml:space="preserve">Les orifices d’insufflation de l’isolation sont, le cas échéant, réalisés dans la lisse basse ou haute (voir l’article « Isolation »).</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pStyle w:val="Kop3"/>
        <w:keepNext/>
      </w:pPr>
      <w:r>
        <w:t xml:space="preserve">Isolation - ouate de cellulose insufflée</w:t>
      </w:r>
    </w:p>
    <w:p>
      <w:pPr>
        <w:keepNext/>
        <w:ind w:left="720" w:firstLine="0"/>
      </w:pPr>
      <w:r>
        <w:rPr>
          <w:b/>
          <w:bCs/>
          <w:u w:val="single"/>
        </w:rPr>
        <w:t xml:space="preserve">Description</w:t>
      </w:r>
    </w:p>
    <w:p>
      <w:pPr>
        <w:ind w:left="720" w:firstLine="0"/>
      </w:pPr>
      <w:r>
        <w:t xml:space="preserve">Les compartiments entre les éléments structurels en bois sont entièrement remplis par insufflation de flocons de cellulose.</w:t>
      </w:r>
    </w:p>
    <w:p>
      <w:pPr>
        <w:keepNext/>
        <w:ind w:left="720" w:firstLine="0"/>
      </w:pPr>
      <w:r>
        <w:rPr>
          <w:b/>
          <w:bCs/>
          <w:u w:val="single"/>
        </w:rPr>
        <w:t xml:space="preserve">Matériel</w:t>
      </w:r>
    </w:p>
    <w:p>
      <w:pPr>
        <w:pStyle w:val="Lijstalinea"/>
        <w:numPr>
          <w:ilvl w:val="0"/>
          <w:numId w:val="9"/>
        </w:numPr>
      </w:pPr>
      <w:r>
        <w:t xml:space="preserve">Les flocons de cellulose sont composés d’au moins 90 % de fibres de cellulose recyclées (papier journal et carton), avec du sulfate de magnésium et de l’acide borique (max. 3,7 %) comme protection contre le feu, les moisissures et les insectes.</w:t>
      </w:r>
    </w:p>
    <w:p>
      <w:pPr>
        <w:pStyle w:val="Lijstalinea"/>
        <w:numPr>
          <w:ilvl w:val="0"/>
          <w:numId w:val="9"/>
        </w:numPr>
      </w:pPr>
      <w:r>
        <w:t xml:space="preserve">Les flocons de cellulose disposent d’un ETA (European Technical Assessment) valide, avec marquage CE, et d’une B-EPD (déclaration environnementale de produit belge).</w:t>
      </w:r>
    </w:p>
    <w:p>
      <w:pPr>
        <w:pStyle w:val="Lijstalinea"/>
        <w:numPr>
          <w:ilvl w:val="0"/>
          <w:numId w:val="9"/>
        </w:numPr>
      </w:pPr>
      <w:r>
        <w:t xml:space="preserve">Seuls sont acceptés les produits dont la valeur λ peut être démontrée par la valeur λD déclarée dans le marquage CE ou l’ETA, ou par la valeur de calcul λUi reprise dans la base de données des produits PEB.</w:t>
      </w:r>
    </w:p>
    <w:p>
      <w:pPr>
        <w:keepNext/>
        <w:ind w:left="720" w:firstLine="0"/>
      </w:pPr>
      <w:r>
        <w:rPr>
          <w:u w:val="single"/>
        </w:rPr>
        <w:t xml:space="preserve">Spécifications</w:t>
      </w:r>
    </w:p>
    <w:p>
      <w:pPr>
        <w:pStyle w:val="Lijstalinea"/>
        <w:numPr>
          <w:ilvl w:val="0"/>
          <w:numId w:val="9"/>
        </w:numPr>
      </w:pPr>
      <w:r>
        <w:t xml:space="preserve">Coefficient de conductivité thermique λD (insufflé) : max. 0,038 </w:t>
      </w:r>
      <w:r>
        <w:rPr>
          <w:caps w:val="0"/>
        </w:rPr>
        <w:t xml:space="preserve">W/(m·K)</w:t>
      </w:r>
      <w:r>
        <w:t xml:space="preserve">.</w:t>
      </w:r>
    </w:p>
    <w:p>
      <w:pPr>
        <w:pStyle w:val="Lijstalinea"/>
        <w:numPr>
          <w:ilvl w:val="0"/>
          <w:numId w:val="9"/>
        </w:numPr>
      </w:pPr>
      <w:r>
        <w:t xml:space="preserve">Épaisseur d’isolation : toute la profondeur des montants, min. 180 mm.</w:t>
      </w:r>
    </w:p>
    <w:p>
      <w:pPr>
        <w:pStyle w:val="Lijstalinea"/>
        <w:numPr>
          <w:ilvl w:val="0"/>
          <w:numId w:val="9"/>
        </w:numPr>
      </w:pPr>
      <w:r>
        <w:rPr>
          <w:b/>
          <w:bCs/>
        </w:rPr>
        <w:t xml:space="preserve">Masse volumique après insufflation : min. 50 </w:t>
      </w:r>
      <w:r>
        <w:rPr>
          <w:b/>
          <w:bCs/>
          <w:caps w:val="0"/>
        </w:rPr>
        <w:t xml:space="preserve">kg/m³</w:t>
      </w:r>
      <w:r>
        <w:rPr>
          <w:b/>
          <w:bCs/>
        </w:rPr>
        <w:t xml:space="preserve"> sur l’ensemble du compartiment.</w:t>
      </w:r>
      <w:r>
        <w:rPr>
          <w:rStyle w:val="Voetnootmarkering"/>
          <w:color w:val="F05133"/>
        </w:rPr>
        <w:footnoteReference w:id="31"/>
      </w:r>
    </w:p>
    <w:p>
      <w:pPr>
        <w:pStyle w:val="Lijstalinea"/>
        <w:numPr>
          <w:ilvl w:val="0"/>
          <w:numId w:val="9"/>
        </w:numPr>
      </w:pPr>
      <w:r>
        <w:t xml:space="preserve">Coefficient de résistance à la diffusion de vapeur µ : 1 à 2.</w:t>
      </w:r>
    </w:p>
    <w:p>
      <w:pPr>
        <w:pStyle w:val="Lijstalinea"/>
        <w:numPr>
          <w:ilvl w:val="0"/>
          <w:numId w:val="9"/>
        </w:numPr>
      </w:pPr>
      <w:r>
        <w:t xml:space="preserve">Chaleur spécifique : env. 2.000 J/(kg·K).</w:t>
      </w:r>
    </w:p>
    <w:p>
      <w:pPr>
        <w:pStyle w:val="Lijstalinea"/>
        <w:numPr>
          <w:ilvl w:val="0"/>
          <w:numId w:val="9"/>
        </w:numPr>
      </w:pPr>
      <w:r>
        <w:t xml:space="preserve">Réaction au feu (selon la NBN EN 13501-1) : </w:t>
      </w:r>
      <w:r>
        <w:rPr>
          <w:color w:val="0070C0"/>
        </w:rPr>
        <w:t xml:space="preserve">… selon la déclaration des performances (DoP) en vigueur du fabricant</w:t>
      </w:r>
      <w:r>
        <w:t xml:space="preserve">.</w:t>
      </w:r>
      <w:r>
        <w:rPr>
          <w:rStyle w:val="Voetnootmarkering"/>
          <w:color w:val="F05133"/>
        </w:rPr>
        <w:footnoteReference w:id="32"/>
      </w:r>
    </w:p>
    <w:p>
      <w:pPr>
        <w:keepNext/>
        <w:ind w:left="720" w:firstLine="0"/>
      </w:pPr>
      <w:r>
        <w:rPr>
          <w:b/>
          <w:bCs/>
          <w:u w:val="single"/>
        </w:rPr>
        <w:t xml:space="preserve">Mise en œuvre</w:t>
      </w:r>
    </w:p>
    <w:p>
      <w:pPr>
        <w:pStyle w:val="Lijstalinea"/>
        <w:numPr>
          <w:ilvl w:val="0"/>
          <w:numId w:val="9"/>
        </w:numPr>
      </w:pPr>
      <w:r>
        <w:t xml:space="preserve">Les flocons de cellulose sont mis en œuvre conformément aux dispositions de l’ETA, aux directives du fabricant et aux instructions d’insufflation spécifiques du fabricant pour cette composition de paroi, par une entreprise d’application formée et agréée par le fabricant, ou en atelier par le fournisseur du système.</w:t>
      </w:r>
    </w:p>
    <w:p>
      <w:pPr>
        <w:pStyle w:val="Lijstalinea"/>
        <w:numPr>
          <w:ilvl w:val="0"/>
          <w:numId w:val="9"/>
        </w:numPr>
      </w:pPr>
      <w:r>
        <w:t xml:space="preserve">Avant l’insufflation, toutes les fentes et ouvertures sont obturées. Les endroits qui ne pourront plus être remplis ultérieurement sont isolés au moyen d’un isolant fibreux approprié lors de la réalisation des compartiments.</w:t>
      </w:r>
    </w:p>
    <w:p>
      <w:pPr>
        <w:pStyle w:val="Lijstalinea"/>
        <w:numPr>
          <w:ilvl w:val="0"/>
          <w:numId w:val="9"/>
        </w:numPr>
      </w:pPr>
      <w:r>
        <w:t xml:space="preserve">Les flocons sont insufflés avec un équipement d’insufflation approprié et selon une technique adaptée, de sorte que le matériau soit suffisamment décompacté. Les compartiments sont entièrement remplis, dans le respect de la masse volumique minimale. Les contrôles de masse volumique nécessaires sont effectués et enregistrés pendant les travaux d’insufflation.</w:t>
      </w:r>
    </w:p>
    <w:p>
      <w:pPr>
        <w:pStyle w:val="Lijstalinea"/>
        <w:numPr>
          <w:ilvl w:val="0"/>
          <w:numId w:val="9"/>
        </w:numPr>
      </w:pPr>
      <w:r>
        <w:t xml:space="preserve">Pour protéger le parement extérieur contre la pression d’insufflation :</w:t>
      </w:r>
    </w:p>
    <w:p>
      <w:pPr>
        <w:pStyle w:val="Lijstalinea"/>
        <w:numPr>
          <w:ilvl w:val="1"/>
          <w:numId w:val="9"/>
        </w:numPr>
      </w:pPr>
      <w:r>
        <w:t xml:space="preserve">le parement extérieur est fixé avec des agrafes à un entraxe max. de 100 mm sur les bords et au centre du panneau, avec une distance au bord de min. 11 mm ;</w:t>
      </w:r>
    </w:p>
    <w:p>
      <w:pPr>
        <w:pStyle w:val="Lijstalinea"/>
        <w:numPr>
          <w:ilvl w:val="1"/>
          <w:numId w:val="9"/>
        </w:numPr>
      </w:pPr>
      <w:r>
        <w:t xml:space="preserve">l’air est évacué activement pendant l’insufflation.</w:t>
      </w:r>
    </w:p>
    <w:p>
      <w:pPr>
        <w:pStyle w:val="Lijstalinea"/>
        <w:numPr>
          <w:ilvl w:val="0"/>
          <w:numId w:val="9"/>
        </w:numPr>
      </w:pPr>
      <w:r>
        <w:rPr>
          <w:color w:val="0070C0"/>
        </w:rPr>
        <w:t xml:space="preserve">En cas d’insufflation à la lance, l’élément est posé à plat et l’insufflation se fait par des orifices dans la lisse basse / …</w:t>
      </w:r>
      <w:r>
        <w:t xml:space="preserve">.</w:t>
      </w:r>
    </w:p>
    <w:p>
      <w:pPr>
        <w:pStyle w:val="Lijstalinea"/>
        <w:numPr>
          <w:ilvl w:val="0"/>
          <w:numId w:val="9"/>
        </w:numPr>
      </w:pPr>
      <w:r>
        <w:t xml:space="preserve">Après l’insufflation, les orifices d’insufflation sont refermés soigneusement et de manière étanche à l’air, avec une bande adhésive appropriée / </w:t>
      </w:r>
      <w:r>
        <w:rPr>
          <w:color w:val="0070C0"/>
        </w:rPr>
        <w:t xml:space="preserve">…</w:t>
      </w:r>
      <w:r>
        <w:t xml:space="preserve">.</w:t>
      </w:r>
    </w:p>
    <w:p>
      <w:pPr>
        <w:pStyle w:val="Lijstalinea"/>
        <w:numPr>
          <w:ilvl w:val="0"/>
          <w:numId w:val="9"/>
        </w:numPr>
      </w:pPr>
      <w:r>
        <w:t xml:space="preserve">En cas de préfabrication, la masse volumique est adaptée de manière à ce que l’isolation ne puisse pas se tasser pendant le transport, avec un minimum de 50 </w:t>
      </w:r>
      <w:r>
        <w:rPr>
          <w:caps w:val="0"/>
        </w:rPr>
        <w:t xml:space="preserve">kg/m³</w:t>
      </w:r>
      <w:r>
        <w:t xml:space="preserve">.</w:t>
      </w:r>
    </w:p>
    <w:p>
      <w:pPr>
        <w:pStyle w:val="Lijstalinea"/>
        <w:numPr>
          <w:ilvl w:val="0"/>
          <w:numId w:val="9"/>
        </w:numPr>
      </w:pPr>
      <w:r>
        <w:t xml:space="preserve">Des mesures sont prises pour éviter que la cellulose soit exposée à des températures supérieures à 80 °C (conduits de fumée, spots encastrés, …).</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Isolation du mur extérieur REI 60 ; épaisseur totale : toute la profondeur des montants, min. 180 mm ; λD : max. 0,038 </w:t>
      </w:r>
      <w:r>
        <w:rPr>
          <w:caps w:val="0"/>
        </w:rPr>
        <w:t xml:space="preserve">W/(m·K)</w:t>
      </w:r>
      <w:r>
        <w:t xml:space="preserve">.</w:t>
      </w:r>
    </w:p>
    <w:p>
      <w:pPr>
        <w:pStyle w:val="Kop3"/>
        <w:keepNext/>
      </w:pPr>
      <w:r>
        <w:t xml:space="preserve">Parement intérieur 1 - panneau de particules étanche à l’air et frein-vapeur</w:t>
      </w:r>
    </w:p>
    <w:p>
      <w:pPr>
        <w:keepNext/>
        <w:ind w:left="720" w:firstLine="0"/>
      </w:pPr>
      <w:r>
        <w:rPr>
          <w:b/>
          <w:bCs/>
          <w:u w:val="single"/>
        </w:rPr>
        <w:t xml:space="preserve">Description</w:t>
      </w:r>
    </w:p>
    <w:p>
      <w:pPr>
        <w:ind w:left="720" w:firstLine="0"/>
      </w:pPr>
      <w:r>
        <w:t xml:space="preserve">Panneau de particules structurel utilisé comme parement intérieur 1 de la paroi à ossature bois. Le panneau assure à la fois le contreventement, l’étanchéité à l’air et la fonction de frein-vapeur de la paroi ; une membrane intérieure séparée n’est pas nécessaire.</w:t>
      </w:r>
    </w:p>
    <w:p>
      <w:pPr>
        <w:keepNext/>
        <w:ind w:left="720" w:firstLine="0"/>
      </w:pPr>
      <w:r>
        <w:rPr>
          <w:b/>
          <w:bCs/>
          <w:u w:val="single"/>
        </w:rPr>
        <w:t xml:space="preserve">Matériel</w:t>
      </w:r>
    </w:p>
    <w:p>
      <w:pPr>
        <w:pStyle w:val="Lijstalinea"/>
        <w:numPr>
          <w:ilvl w:val="0"/>
          <w:numId w:val="9"/>
        </w:numPr>
      </w:pPr>
      <w:r>
        <w:t xml:space="preserve">Panneau de particules conforme à la NBN EN 312, avec marquage CE et déclaration des performances (DoP) du fabricant.</w:t>
      </w:r>
    </w:p>
    <w:p>
      <w:pPr>
        <w:pStyle w:val="Lijstalinea"/>
        <w:numPr>
          <w:ilvl w:val="0"/>
          <w:numId w:val="9"/>
        </w:numPr>
      </w:pPr>
      <w:r>
        <w:rPr>
          <w:color w:val="0070C0"/>
        </w:rPr>
        <w:t xml:space="preserve">Les panneaux portent un label FSC 100 % ou PEFC et le fournisseur dispose d’une certification FSC ou PEFC CoC.</w:t>
      </w:r>
    </w:p>
    <w:p>
      <w:pPr>
        <w:pStyle w:val="Lijstalinea"/>
        <w:numPr>
          <w:ilvl w:val="0"/>
          <w:numId w:val="9"/>
        </w:numPr>
      </w:pPr>
      <w:r>
        <w:t xml:space="preserve">Le panneau est étanche à l’air dans la masse, grâce aux fibres fines des couches extérieures des deux faces, et non grâce à un revêtement. Il n’y a donc pas de sens de pose imposé.</w:t>
      </w:r>
    </w:p>
    <w:p>
      <w:pPr>
        <w:keepNext/>
        <w:ind w:left="720" w:firstLine="0"/>
      </w:pPr>
      <w:r>
        <w:rPr>
          <w:u w:val="single"/>
        </w:rPr>
        <w:t xml:space="preserve">Spécifications</w:t>
      </w:r>
    </w:p>
    <w:p>
      <w:pPr>
        <w:pStyle w:val="Lijstalinea"/>
        <w:numPr>
          <w:ilvl w:val="0"/>
          <w:numId w:val="9"/>
        </w:numPr>
      </w:pPr>
      <w:r>
        <w:t xml:space="preserve">Type de panneau (selon la NBN EN 312) : P5.</w:t>
      </w:r>
    </w:p>
    <w:p>
      <w:pPr>
        <w:pStyle w:val="Lijstalinea"/>
        <w:numPr>
          <w:ilvl w:val="0"/>
          <w:numId w:val="9"/>
        </w:numPr>
      </w:pPr>
      <w:r>
        <w:t xml:space="preserve">Épaisseur : </w:t>
      </w:r>
      <w:r>
        <w:rPr>
          <w:color w:val="0070C0"/>
        </w:rPr>
        <w:t xml:space="preserve">12 / 13 mm</w:t>
      </w:r>
      <w:r>
        <w:t xml:space="preserve"> ; tolérance d’épaisseur ± 0,3 mm.</w:t>
      </w:r>
    </w:p>
    <w:p>
      <w:pPr>
        <w:pStyle w:val="Lijstalinea"/>
        <w:numPr>
          <w:ilvl w:val="0"/>
          <w:numId w:val="9"/>
        </w:numPr>
      </w:pPr>
      <w:r>
        <w:t xml:space="preserve">Dimensions : largeur max. 1.196 mm ; longueur max. 2.800 mm.</w:t>
      </w:r>
      <w:r>
        <w:rPr>
          <w:rStyle w:val="Voetnootmarkering"/>
          <w:color w:val="F05133"/>
        </w:rPr>
        <w:footnoteReference w:id="33"/>
      </w:r>
    </w:p>
    <w:p>
      <w:pPr>
        <w:pStyle w:val="Lijstalinea"/>
        <w:numPr>
          <w:ilvl w:val="0"/>
          <w:numId w:val="9"/>
        </w:numPr>
      </w:pPr>
      <w:r>
        <w:t xml:space="preserve">Finition des bords : bords droits.</w:t>
      </w:r>
    </w:p>
    <w:p>
      <w:pPr>
        <w:pStyle w:val="Lijstalinea"/>
        <w:numPr>
          <w:ilvl w:val="0"/>
          <w:numId w:val="9"/>
        </w:numPr>
      </w:pPr>
      <w:r>
        <w:t xml:space="preserve">Masse volumique moyenne (selon la NBN EN 323) : 800 </w:t>
      </w:r>
      <w:r>
        <w:rPr>
          <w:caps w:val="0"/>
        </w:rPr>
        <w:t xml:space="preserve">kg/m³</w:t>
      </w:r>
      <w:r>
        <w:t xml:space="preserve">.</w:t>
      </w:r>
    </w:p>
    <w:p>
      <w:pPr>
        <w:pStyle w:val="Lijstalinea"/>
        <w:numPr>
          <w:ilvl w:val="0"/>
          <w:numId w:val="9"/>
        </w:numPr>
      </w:pPr>
      <w:r>
        <w:t xml:space="preserve">Résistance à la flexion (selon la NBN EN 310) : 18 N/m</w:t>
      </w:r>
      <w:r>
        <w:rPr>
          <w:caps w:val="0"/>
        </w:rPr>
        <w:t xml:space="preserve">m²</w:t>
      </w:r>
      <w:r>
        <w:t xml:space="preserve"> ; module d’élasticité en flexion : 2.550 N/m</w:t>
      </w:r>
      <w:r>
        <w:rPr>
          <w:caps w:val="0"/>
        </w:rPr>
        <w:t xml:space="preserve">m²</w:t>
      </w:r>
      <w:r>
        <w:t xml:space="preserve">.</w:t>
      </w:r>
    </w:p>
    <w:p>
      <w:pPr>
        <w:pStyle w:val="Lijstalinea"/>
        <w:numPr>
          <w:ilvl w:val="0"/>
          <w:numId w:val="9"/>
        </w:numPr>
      </w:pPr>
      <w:r>
        <w:t xml:space="preserve">Résistance à la traction perpendiculaire (selon la NBN EN 319) : 0,45 N/m</w:t>
      </w:r>
      <w:r>
        <w:rPr>
          <w:caps w:val="0"/>
        </w:rPr>
        <w:t xml:space="preserve">m²</w:t>
      </w:r>
      <w:r>
        <w:t xml:space="preserve"> ; gonflement en épaisseur après 24 h (selon la NBN EN 317) : 11 %.</w:t>
      </w:r>
    </w:p>
    <w:p>
      <w:pPr>
        <w:pStyle w:val="Lijstalinea"/>
        <w:numPr>
          <w:ilvl w:val="0"/>
          <w:numId w:val="9"/>
        </w:numPr>
      </w:pPr>
      <w:r>
        <w:t xml:space="preserve">Coefficient de résistance à la diffusion de vapeur µ (selon la NBN EN ISO 12572), wet cup / dry cup : 300 / 600 ; soit une valeur sd d’env. 3,6 / 7,2 m en 12 mm et d’env. 3,9 / 7,8 m en 13 mm.</w:t>
      </w:r>
    </w:p>
    <w:p>
      <w:pPr>
        <w:pStyle w:val="Lijstalinea"/>
        <w:numPr>
          <w:ilvl w:val="0"/>
          <w:numId w:val="9"/>
        </w:numPr>
      </w:pPr>
      <w:r>
        <w:t xml:space="preserve">Perméabilité à l’air sous 50 Pa (selon la NBN EN 12114) : 0 m³/(</w:t>
      </w:r>
      <w:r>
        <w:rPr>
          <w:caps w:val="0"/>
        </w:rPr>
        <w:t xml:space="preserve">m²</w:t>
      </w:r>
      <w:r>
        <w:t xml:space="preserve">·h).</w:t>
      </w:r>
    </w:p>
    <w:p>
      <w:pPr>
        <w:pStyle w:val="Lijstalinea"/>
        <w:numPr>
          <w:ilvl w:val="0"/>
          <w:numId w:val="9"/>
        </w:numPr>
      </w:pPr>
      <w:r>
        <w:t xml:space="preserve">Réaction au feu (selon la NBN EN 13986) : D-s2,d0.</w:t>
      </w:r>
    </w:p>
    <w:p>
      <w:pPr>
        <w:pStyle w:val="Lijstalinea"/>
        <w:numPr>
          <w:ilvl w:val="0"/>
          <w:numId w:val="9"/>
        </w:numPr>
      </w:pPr>
      <w:r>
        <w:t xml:space="preserve">Coefficient de conductivité thermique (selon la NBN EN 13986) : 0,12 </w:t>
      </w:r>
      <w:r>
        <w:rPr>
          <w:caps w:val="0"/>
        </w:rPr>
        <w:t xml:space="preserve">W/(m·K)</w:t>
      </w:r>
      <w:r>
        <w:t xml:space="preserve">.</w:t>
      </w:r>
    </w:p>
    <w:p>
      <w:pPr>
        <w:pStyle w:val="Lijstalinea"/>
        <w:numPr>
          <w:ilvl w:val="0"/>
          <w:numId w:val="9"/>
        </w:numPr>
      </w:pPr>
      <w:r>
        <w:t xml:space="preserve">Émission de formaldéhyde (selon la NBN EN 717-1) : classe E1 E05, ≤ 0,05 ppm.</w:t>
      </w:r>
    </w:p>
    <w:p>
      <w:pPr>
        <w:keepNext/>
        <w:ind w:left="720" w:firstLine="0"/>
      </w:pPr>
      <w:r>
        <w:rPr>
          <w:b/>
          <w:bCs/>
          <w:u w:val="single"/>
        </w:rPr>
        <w:t xml:space="preserve">Mise en œuvre</w:t>
      </w:r>
    </w:p>
    <w:p>
      <w:pPr>
        <w:pStyle w:val="Lijstalinea"/>
        <w:numPr>
          <w:ilvl w:val="0"/>
          <w:numId w:val="9"/>
        </w:numPr>
      </w:pPr>
      <w:r>
        <w:t xml:space="preserve">Les panneaux sont posés selon les prescriptions du fabricant et conformément à la NIT 255 Étanchéité à l’air des bâtiments de Buildwise.</w:t>
      </w:r>
    </w:p>
    <w:p>
      <w:pPr>
        <w:pStyle w:val="Lijstalinea"/>
        <w:numPr>
          <w:ilvl w:val="0"/>
          <w:numId w:val="9"/>
        </w:numPr>
      </w:pPr>
      <w:r>
        <w:t xml:space="preserve">Les panneaux sont fixés comme décrit à l’article « Mur extérieur porteur à ossature bois REI 60 </w:t>
      </w:r>
      <w:r>
        <w:rPr>
          <w:caps w:val="0"/>
        </w:rPr>
        <w:t xml:space="preserve">(o↔i)</w:t>
      </w:r>
      <w:r>
        <w:t xml:space="preserve"> » : agrafes 1,5 × 50 mm, largeur du dos 11 mm, entraxe max. 150 mm sur les bords et max. 300 mm au centre du panneau.</w:t>
      </w:r>
    </w:p>
    <w:p>
      <w:pPr>
        <w:pStyle w:val="Lijstalinea"/>
        <w:numPr>
          <w:ilvl w:val="0"/>
          <w:numId w:val="9"/>
        </w:numPr>
      </w:pPr>
      <w:r>
        <w:t xml:space="preserve">Les joints verticaux se situent au droit d’un montant et sont réalisés avec un joint d’env. 4 mm.</w:t>
      </w:r>
      <w:r>
        <w:rPr>
          <w:rStyle w:val="Voetnootmarkering"/>
          <w:color w:val="F05133"/>
        </w:rPr>
        <w:footnoteReference w:id="34"/>
      </w:r>
    </w:p>
    <w:p>
      <w:pPr>
        <w:pStyle w:val="Lijstalinea"/>
        <w:numPr>
          <w:ilvl w:val="0"/>
          <w:numId w:val="9"/>
        </w:numPr>
      </w:pPr>
      <w:r>
        <w:t xml:space="preserve">Tous les joints, raccords et éventuels dommages sont rendus étanches à l’air au moyen de la bande adhésive selon l’article « Bande adhésive ».</w:t>
      </w:r>
    </w:p>
    <w:p>
      <w:pPr>
        <w:pStyle w:val="Lijstalinea"/>
        <w:numPr>
          <w:ilvl w:val="0"/>
          <w:numId w:val="9"/>
        </w:numPr>
      </w:pPr>
      <w:r>
        <w:t xml:space="preserve">Les raccords avec d’autres éléments de l’enveloppe d’étanchéité à l’air (planchers, fenêtres, toiture, …) sont réalisés de manière étanche à l’air selon les plans de détail et les instructions de l’architecte.</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Parement intérieur 1 du mur extérieur REI 60.</w:t>
      </w:r>
    </w:p>
    <w:p>
      <w:pPr>
        <w:pStyle w:val="Kop3"/>
        <w:keepNext/>
      </w:pPr>
      <w:r>
        <w:t xml:space="preserve">Bande adhésive - joints de panneaux étanches à l’air</w:t>
      </w:r>
    </w:p>
    <w:p>
      <w:pPr>
        <w:keepNext/>
        <w:ind w:left="720" w:firstLine="0"/>
      </w:pPr>
      <w:r>
        <w:rPr>
          <w:b/>
          <w:bCs/>
          <w:u w:val="single"/>
        </w:rPr>
        <w:t xml:space="preserve">Description</w:t>
      </w:r>
    </w:p>
    <w:p>
      <w:pPr>
        <w:ind w:left="720" w:firstLine="0"/>
      </w:pPr>
      <w:r>
        <w:t xml:space="preserve">Bande adhésive destinée à rendre étanches à l’air les joints, raccords et dommages du panneau de particules étanche à l’air.</w:t>
      </w:r>
    </w:p>
    <w:p>
      <w:pPr>
        <w:keepNext/>
        <w:ind w:left="720" w:firstLine="0"/>
      </w:pPr>
      <w:r>
        <w:rPr>
          <w:b/>
          <w:bCs/>
          <w:u w:val="single"/>
        </w:rPr>
        <w:t xml:space="preserve">Matériel</w:t>
      </w:r>
    </w:p>
    <w:p>
      <w:pPr>
        <w:pStyle w:val="Lijstalinea"/>
        <w:numPr>
          <w:ilvl w:val="0"/>
          <w:numId w:val="9"/>
        </w:numPr>
      </w:pPr>
      <w:r>
        <w:t xml:space="preserve">La bande adhésive et les éventuels accessoires font partie d’un même système d’étanchéité à l’air et sont compatibles avec le support.</w:t>
      </w:r>
    </w:p>
    <w:p>
      <w:pPr>
        <w:keepNext/>
        <w:ind w:left="720" w:firstLine="0"/>
      </w:pPr>
      <w:r>
        <w:rPr>
          <w:u w:val="single"/>
        </w:rPr>
        <w:t xml:space="preserve">Spécifications</w:t>
      </w:r>
    </w:p>
    <w:p>
      <w:pPr>
        <w:pStyle w:val="Lijstalinea"/>
        <w:numPr>
          <w:ilvl w:val="0"/>
          <w:numId w:val="9"/>
        </w:numPr>
      </w:pPr>
      <w:r>
        <w:t xml:space="preserve">Support : non-tissé en polypropylène ; colle : colle résistante à l’eau ; protection : papier siliconé.</w:t>
      </w:r>
    </w:p>
    <w:p>
      <w:pPr>
        <w:pStyle w:val="Lijstalinea"/>
        <w:numPr>
          <w:ilvl w:val="0"/>
          <w:numId w:val="9"/>
        </w:numPr>
      </w:pPr>
      <w:r>
        <w:t xml:space="preserve">Largeur : 60 mm ; épaisseur : env. 0,3 mm.</w:t>
      </w:r>
    </w:p>
    <w:p>
      <w:pPr>
        <w:pStyle w:val="Lijstalinea"/>
        <w:numPr>
          <w:ilvl w:val="0"/>
          <w:numId w:val="9"/>
        </w:numPr>
      </w:pPr>
      <w:r>
        <w:t xml:space="preserve">Convient pour des raccords étanches à l’air selon la DIN 4108-7.</w:t>
      </w:r>
    </w:p>
    <w:p>
      <w:pPr>
        <w:pStyle w:val="Lijstalinea"/>
        <w:numPr>
          <w:ilvl w:val="0"/>
          <w:numId w:val="9"/>
        </w:numPr>
      </w:pPr>
      <w:r>
        <w:t xml:space="preserve">Température de mise en œuvre : à partir de -10 °C ; résistance à la température : de -50 °C à +90 °C.</w:t>
      </w:r>
    </w:p>
    <w:p>
      <w:pPr>
        <w:keepNext/>
        <w:ind w:left="720" w:firstLine="0"/>
      </w:pPr>
      <w:r>
        <w:rPr>
          <w:b/>
          <w:bCs/>
          <w:u w:val="single"/>
        </w:rPr>
        <w:t xml:space="preserve">Mise en œuvre</w:t>
      </w:r>
    </w:p>
    <w:p>
      <w:pPr>
        <w:pStyle w:val="Lijstalinea"/>
        <w:numPr>
          <w:ilvl w:val="0"/>
          <w:numId w:val="9"/>
        </w:numPr>
      </w:pPr>
      <w:r>
        <w:t xml:space="preserve">La bande adhésive est appliquée selon les prescriptions du fabricant et conformément à la NIT 255. Le support est sec et exempt de poussière, de graisse et de silicone. La bande est bien marouflée.</w:t>
      </w:r>
    </w:p>
    <w:p>
      <w:pPr>
        <w:pStyle w:val="Lijstalinea"/>
        <w:numPr>
          <w:ilvl w:val="0"/>
          <w:numId w:val="9"/>
        </w:numPr>
      </w:pPr>
      <w:r>
        <w:t xml:space="preserve">La bande adhésive est appliquée avant la pose du parement intérieur 2.</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pStyle w:val="Kop3"/>
        <w:keepNext/>
      </w:pPr>
      <w:r>
        <w:t xml:space="preserve">Parement intérieur 2 - plaque de plâtre coupe-feu de type DF</w:t>
      </w:r>
    </w:p>
    <w:p>
      <w:pPr>
        <w:keepNext/>
        <w:ind w:left="720" w:firstLine="0"/>
      </w:pPr>
      <w:r>
        <w:rPr>
          <w:b/>
          <w:bCs/>
          <w:u w:val="single"/>
        </w:rPr>
        <w:t xml:space="preserve">Description</w:t>
      </w:r>
    </w:p>
    <w:p>
      <w:pPr>
        <w:ind w:left="720" w:firstLine="0"/>
      </w:pPr>
      <w:r>
        <w:t xml:space="preserve">Plaque de plâtre coupe-feu utilisée comme deuxième parement intérieur de la paroi à ossature bois, posée contre le panneau de particules étanche à l’air.</w:t>
      </w:r>
    </w:p>
    <w:p>
      <w:pPr>
        <w:keepNext/>
        <w:ind w:left="720" w:firstLine="0"/>
      </w:pPr>
      <w:r>
        <w:rPr>
          <w:b/>
          <w:bCs/>
          <w:u w:val="single"/>
        </w:rPr>
        <w:t xml:space="preserve">Matériel</w:t>
      </w:r>
    </w:p>
    <w:p>
      <w:pPr>
        <w:pStyle w:val="Lijstalinea"/>
        <w:numPr>
          <w:ilvl w:val="0"/>
          <w:numId w:val="9"/>
        </w:numPr>
      </w:pPr>
      <w:r>
        <w:t xml:space="preserve">Plaque de plâtre conforme à la NBN EN 520+A1, avec marquage CE et déclaration des performances (DoP).</w:t>
      </w:r>
    </w:p>
    <w:p>
      <w:pPr>
        <w:keepNext/>
        <w:ind w:left="720" w:firstLine="0"/>
      </w:pPr>
      <w:r>
        <w:rPr>
          <w:u w:val="single"/>
        </w:rPr>
        <w:t xml:space="preserve">Spécifications</w:t>
      </w:r>
    </w:p>
    <w:p>
      <w:pPr>
        <w:pStyle w:val="Lijstalinea"/>
        <w:numPr>
          <w:ilvl w:val="0"/>
          <w:numId w:val="9"/>
        </w:numPr>
      </w:pPr>
      <w:r>
        <w:t xml:space="preserve">Type (selon la NBN EN 520) : DF (masse volumique contrôlée ; cohésion du cœur améliorée à haute température).</w:t>
      </w:r>
    </w:p>
    <w:p>
      <w:pPr>
        <w:pStyle w:val="Lijstalinea"/>
        <w:numPr>
          <w:ilvl w:val="0"/>
          <w:numId w:val="9"/>
        </w:numPr>
      </w:pPr>
      <w:r>
        <w:t xml:space="preserve">Réaction au feu (selon la NBN EN 13501-1) : A2-s1,d0.</w:t>
      </w:r>
    </w:p>
    <w:p>
      <w:pPr>
        <w:pStyle w:val="Lijstalinea"/>
        <w:numPr>
          <w:ilvl w:val="0"/>
          <w:numId w:val="9"/>
        </w:numPr>
      </w:pPr>
      <w:r>
        <w:t xml:space="preserve">Épaisseur : 15 mm.</w:t>
      </w:r>
    </w:p>
    <w:p>
      <w:pPr>
        <w:pStyle w:val="Lijstalinea"/>
        <w:numPr>
          <w:ilvl w:val="0"/>
          <w:numId w:val="9"/>
        </w:numPr>
      </w:pPr>
      <w:r>
        <w:t xml:space="preserve">Dimensions : largeur max. 1.200 mm ; longueur max. 2.600 mm.</w:t>
      </w:r>
      <w:r>
        <w:rPr>
          <w:rStyle w:val="Voetnootmarkering"/>
          <w:color w:val="F05133"/>
        </w:rPr>
        <w:footnoteReference w:id="35"/>
      </w:r>
    </w:p>
    <w:p>
      <w:pPr>
        <w:pStyle w:val="Lijstalinea"/>
        <w:numPr>
          <w:ilvl w:val="0"/>
          <w:numId w:val="9"/>
        </w:numPr>
      </w:pPr>
      <w:r>
        <w:t xml:space="preserve">Masse volumique nominale : 900 </w:t>
      </w:r>
      <w:r>
        <w:rPr>
          <w:caps w:val="0"/>
        </w:rPr>
        <w:t xml:space="preserve">kg/m³</w:t>
      </w:r>
      <w:r>
        <w:t xml:space="preserve"> ; poids : env. 13,5 kg/</w:t>
      </w:r>
      <w:r>
        <w:rPr>
          <w:caps w:val="0"/>
        </w:rPr>
        <w:t xml:space="preserve">m²</w:t>
      </w:r>
      <w:r>
        <w:t xml:space="preserve">.</w:t>
      </w:r>
    </w:p>
    <w:p>
      <w:pPr>
        <w:pStyle w:val="Lijstalinea"/>
        <w:numPr>
          <w:ilvl w:val="0"/>
          <w:numId w:val="9"/>
        </w:numPr>
      </w:pPr>
      <w:r>
        <w:t xml:space="preserve">Finition des bords : bords longitudinaux </w:t>
      </w:r>
      <w:r>
        <w:rPr>
          <w:color w:val="0070C0"/>
        </w:rPr>
        <w:t xml:space="preserve">amincis (BA) / amincis sur 4 côtés (4BA)</w:t>
      </w:r>
      <w:r>
        <w:t xml:space="preserve">.</w:t>
      </w:r>
    </w:p>
    <w:p>
      <w:pPr>
        <w:keepNext/>
        <w:ind w:left="720" w:firstLine="0"/>
      </w:pPr>
      <w:r>
        <w:rPr>
          <w:b/>
          <w:bCs/>
          <w:u w:val="single"/>
        </w:rPr>
        <w:t xml:space="preserve">Mise en œuvre</w:t>
      </w:r>
    </w:p>
    <w:p>
      <w:pPr>
        <w:pStyle w:val="Lijstalinea"/>
        <w:numPr>
          <w:ilvl w:val="0"/>
          <w:numId w:val="9"/>
        </w:numPr>
      </w:pPr>
      <w:r>
        <w:t xml:space="preserve">Les plaques sont posées selon les prescriptions du fabricant et fixées comme décrit à l’article « Mur extérieur porteur à ossature bois REI 60 </w:t>
      </w:r>
      <w:r>
        <w:rPr>
          <w:caps w:val="0"/>
        </w:rPr>
        <w:t xml:space="preserve">(o↔i)</w:t>
      </w:r>
      <w:r>
        <w:t xml:space="preserve"> » : agrafes 1,4 × 55 mm, largeur du dos 11,2 mm, entraxe max. 100 mm sur les bords verticaux et max. 200 mm au centre du panneau.</w:t>
      </w:r>
    </w:p>
    <w:p>
      <w:pPr>
        <w:pStyle w:val="Lijstalinea"/>
        <w:numPr>
          <w:ilvl w:val="0"/>
          <w:numId w:val="9"/>
        </w:numPr>
      </w:pPr>
      <w:r>
        <w:t xml:space="preserve">Les joints sont décalés par rapport aux joints du panneau de particules.</w:t>
      </w:r>
    </w:p>
    <w:p>
      <w:pPr>
        <w:pStyle w:val="Lijstalinea"/>
        <w:numPr>
          <w:ilvl w:val="0"/>
          <w:numId w:val="9"/>
        </w:numPr>
      </w:pPr>
      <w:r>
        <w:t xml:space="preserve">Degré de finition selon la NIT 233 : </w:t>
      </w:r>
      <w:r>
        <w:rPr>
          <w:color w:val="0070C0"/>
        </w:rPr>
        <w:t xml:space="preserve">F1 (à carreler) / F2a (à peindre, jointoiement standard) / F2b (à peindre, méthode de raclage) / F3 (enduisage sur toute la surface) / pas de finition (en cas de vide technique)</w:t>
      </w:r>
      <w:r>
        <w:t xml:space="preserve">.</w:t>
      </w:r>
    </w:p>
    <w:p>
      <w:pPr>
        <w:pStyle w:val="Lijstalinea"/>
        <w:numPr>
          <w:ilvl w:val="0"/>
          <w:numId w:val="9"/>
        </w:numPr>
      </w:pPr>
      <w:r>
        <w:t xml:space="preserve">Des profilés de protection d’angle sont posés sur tous les angles saillants.</w:t>
      </w:r>
    </w:p>
    <w:p>
      <w:pPr>
        <w:keepNext/>
        <w:ind w:left="720" w:firstLine="0"/>
      </w:pPr>
      <w:r>
        <w:rPr>
          <w:b/>
          <w:bCs/>
          <w:u w:val="single"/>
        </w:rPr>
        <w:t xml:space="preserve">Mesure</w:t>
      </w:r>
    </w:p>
    <w:p>
      <w:pPr>
        <w:pStyle w:val="Lijstalinea"/>
        <w:numPr>
          <w:ilvl w:val="0"/>
          <w:numId w:val="9"/>
        </w:numPr>
      </w:pPr>
      <w:r>
        <w:t xml:space="preserve">Nature du marché : pour mémoire (PM). Compris dans le prix des murs.</w:t>
      </w:r>
    </w:p>
    <w:p>
      <w:pPr>
        <w:keepNext/>
        <w:ind w:left="720" w:firstLine="0"/>
      </w:pPr>
      <w:r>
        <w:rPr>
          <w:b/>
          <w:bCs/>
          <w:u w:val="single"/>
        </w:rPr>
        <w:t xml:space="preserve">Application / localisation</w:t>
      </w:r>
    </w:p>
    <w:p>
      <w:pPr>
        <w:ind w:left="720" w:firstLine="0"/>
      </w:pPr>
      <w:r>
        <w:t xml:space="preserve">Parement intérieur 2 du mur extérieur REI 60.</w:t>
      </w:r>
    </w:p>
    <w:p>
      <w:pPr>
        <w:pStyle w:val="Kop3"/>
        <w:keepNext/>
      </w:pPr>
      <w:r>
        <w:t xml:space="preserve">Vide technique - structure de lattage en bois pour finition intérieure </w:t>
      </w:r>
      <w:r>
        <w:rPr>
          <w:color w:val="0070C0"/>
        </w:rPr>
        <w:t xml:space="preserve">(option)</w:t>
      </w:r>
    </w:p>
    <w:p>
      <w:pPr>
        <w:keepNext/>
        <w:ind w:left="720" w:firstLine="0"/>
      </w:pPr>
      <w:r>
        <w:rPr>
          <w:b/>
          <w:bCs/>
          <w:u w:val="single"/>
        </w:rPr>
        <w:t xml:space="preserve">Description</w:t>
      </w:r>
    </w:p>
    <w:p>
      <w:pPr>
        <w:ind w:left="720" w:firstLine="0"/>
      </w:pPr>
      <w:r>
        <w:rPr>
          <w:color w:val="0070C0"/>
        </w:rPr>
        <w:t xml:space="preserve">Structure de lattage en bois du côté intérieur du mur extérieur REI 60, destinée à créer un vide technique et à poser le parement de finition.</w:t>
      </w:r>
    </w:p>
    <w:p>
      <w:pPr>
        <w:keepNext/>
        <w:ind w:left="720" w:firstLine="0"/>
      </w:pPr>
      <w:r>
        <w:rPr>
          <w:b/>
          <w:bCs/>
          <w:u w:val="single"/>
        </w:rPr>
        <w:t xml:space="preserve">Matériel</w:t>
      </w:r>
    </w:p>
    <w:p>
      <w:pPr>
        <w:pStyle w:val="Lijstalinea"/>
        <w:numPr>
          <w:ilvl w:val="0"/>
          <w:numId w:val="9"/>
        </w:numPr>
      </w:pPr>
      <w:r>
        <w:rPr>
          <w:color w:val="0070C0"/>
        </w:rPr>
        <w:t xml:space="preserve">Épicéa européen ou indigène, avec marquage CE et label FSC 100 % ou PEFC ; humidité du bois max. 20 % ; tolérance classe 2 selon la NBN EN 336.</w:t>
      </w:r>
    </w:p>
    <w:p>
      <w:pPr>
        <w:keepNext/>
        <w:ind w:left="720" w:firstLine="0"/>
      </w:pPr>
      <w:r>
        <w:rPr>
          <w:u w:val="single"/>
        </w:rPr>
        <w:t xml:space="preserve">Spécifications</w:t>
      </w:r>
    </w:p>
    <w:p>
      <w:pPr>
        <w:pStyle w:val="Lijstalinea"/>
        <w:numPr>
          <w:ilvl w:val="0"/>
          <w:numId w:val="9"/>
        </w:numPr>
      </w:pPr>
      <w:r>
        <w:rPr>
          <w:color w:val="0070C0"/>
        </w:rPr>
        <w:t xml:space="preserve">Épaisseur : … mm / voir plans ; entraxe : … mm.</w:t>
      </w:r>
    </w:p>
    <w:p>
      <w:pPr>
        <w:keepNext/>
        <w:ind w:left="720" w:firstLine="0"/>
      </w:pPr>
      <w:r>
        <w:rPr>
          <w:b/>
          <w:bCs/>
          <w:u w:val="single"/>
        </w:rPr>
        <w:t xml:space="preserve">Mise en œuvre</w:t>
      </w:r>
    </w:p>
    <w:p>
      <w:pPr>
        <w:pStyle w:val="Lijstalinea"/>
        <w:numPr>
          <w:ilvl w:val="0"/>
          <w:numId w:val="9"/>
        </w:numPr>
      </w:pPr>
      <w:r>
        <w:rPr>
          <w:color w:val="0070C0"/>
        </w:rPr>
        <w:t xml:space="preserve">Le lattage est fixé dans les montants, à travers les parements intérieurs. Son épaisseur est adaptée à l’encastrement des éléments électriques.</w:t>
      </w:r>
    </w:p>
    <w:p>
      <w:pPr>
        <w:keepNext/>
        <w:ind w:left="720" w:firstLine="0"/>
      </w:pPr>
      <w:r>
        <w:rPr>
          <w:b/>
          <w:bCs/>
          <w:u w:val="single"/>
        </w:rPr>
        <w:t xml:space="preserve">Mesure</w:t>
      </w:r>
    </w:p>
    <w:p>
      <w:pPr>
        <w:pStyle w:val="Lijstalinea"/>
        <w:numPr>
          <w:ilvl w:val="0"/>
          <w:numId w:val="9"/>
        </w:numPr>
      </w:pPr>
      <w:r>
        <w:rPr>
          <w:color w:val="0070C0"/>
        </w:rPr>
        <w:t xml:space="preserve">Nature du marché : pour mémoire (PM). Compris dans le prix des murs.</w:t>
      </w:r>
    </w:p>
    <w:sectPr w:rsidR="000E5BF8" w:rsidRPr="002B7531" w:rsidSect="00BE188E">
      <w:headerReference w:type="default" r:id="rId13"/>
      <w:footerReference w:type="default" r:id="rId14"/>
      <w:headerReference w:type="first" r:id="rId15"/>
      <w:footerReference w:type="first" r:id="rId16"/>
      <w:pgSz w:w="11906" w:h="16838" w:code="9"/>
      <w:pgMar w:top="567" w:right="567" w:bottom="567" w:left="567"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ACD14" w14:textId="77777777" w:rsidR="004575EC" w:rsidRDefault="004575EC" w:rsidP="00CA3BE7">
      <w:r>
        <w:separator/>
      </w:r>
    </w:p>
    <w:p w14:paraId="138A64FD" w14:textId="77777777" w:rsidR="004575EC" w:rsidRDefault="004575EC"/>
    <w:p w14:paraId="3F5106E4" w14:textId="77777777" w:rsidR="004575EC" w:rsidRDefault="004575EC"/>
    <w:p w14:paraId="22822F86" w14:textId="77777777" w:rsidR="004575EC" w:rsidRDefault="004575EC"/>
  </w:endnote>
  <w:endnote w:type="continuationSeparator" w:id="0">
    <w:p w14:paraId="1A7E34BB" w14:textId="77777777" w:rsidR="004575EC" w:rsidRDefault="004575EC" w:rsidP="00CA3BE7">
      <w:r>
        <w:continuationSeparator/>
      </w:r>
    </w:p>
    <w:p w14:paraId="76B9A87F" w14:textId="77777777" w:rsidR="004575EC" w:rsidRDefault="004575EC"/>
    <w:p w14:paraId="4B8203AD" w14:textId="77777777" w:rsidR="004575EC" w:rsidRDefault="004575EC"/>
    <w:p w14:paraId="55D3E148" w14:textId="77777777" w:rsidR="004575EC" w:rsidRDefault="004575EC"/>
  </w:endnote>
  <w:endnote w:type="continuationNotice" w:id="1">
    <w:p w14:paraId="275C66D1" w14:textId="77777777" w:rsidR="004575EC" w:rsidRDefault="004575E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9D15" w14:textId="17FC4789" w:rsidR="0089576D" w:rsidRPr="005A6E7F" w:rsidRDefault="00151DDA" w:rsidP="001729CB">
    <w:pPr>
      <w:pStyle w:val="Koptekst"/>
      <w:ind w:firstLine="0"/>
      <w:rPr>
        <w:lang w:val="fr-BE"/>
      </w:rPr>
    </w:pPr>
    <w:hyperlink w:anchor="_Cahiers_des_charges" w:history="1">
      <w:r w:rsidR="0089576D" w:rsidRPr="005A6E7F">
        <w:rPr>
          <w:rStyle w:val="Hyperlink"/>
          <w:lang w:val="fr-BE"/>
        </w:rPr>
        <w:t xml:space="preserve">Retour </w:t>
      </w:r>
      <w:r w:rsidR="0062719F">
        <w:rPr>
          <w:rStyle w:val="Hyperlink"/>
          <w:lang w:val="fr-BE"/>
        </w:rPr>
        <w:t>au</w:t>
      </w:r>
      <w:r w:rsidR="0089576D" w:rsidRPr="005A6E7F">
        <w:rPr>
          <w:rStyle w:val="Hyperlink"/>
          <w:lang w:val="fr-BE"/>
        </w:rPr>
        <w:t xml:space="preserve"> </w:t>
      </w:r>
      <w:r w:rsidR="0089576D">
        <w:rPr>
          <w:rStyle w:val="Hyperlink"/>
          <w:lang w:val="fr-BE"/>
        </w:rPr>
        <w:t>menu et explicati</w:t>
      </w:r>
      <w:r w:rsidR="0089576D" w:rsidRPr="005A6E7F">
        <w:rPr>
          <w:rStyle w:val="Hyperlink"/>
          <w:lang w:val="fr-BE"/>
        </w:rPr>
        <w:t>on</w:t>
      </w:r>
      <w:r w:rsidR="00344FAA">
        <w:rPr>
          <w:rStyle w:val="Hyperlink"/>
          <w:lang w:val="fr-BE"/>
        </w:rPr>
        <w:t>s</w:t>
      </w:r>
      <w:r w:rsidR="0089576D" w:rsidRPr="005A6E7F">
        <w:rPr>
          <w:rStyle w:val="Hyperlink"/>
          <w:lang w:val="fr-BE"/>
        </w:rPr>
        <w:t xml:space="preserve"> FR</w:t>
      </w:r>
    </w:hyperlink>
  </w:p>
  <w:p w14:paraId="041CB5AE" w14:textId="77777777" w:rsidR="00D70834" w:rsidRPr="00E077E9" w:rsidRDefault="00D70834" w:rsidP="002D2B90">
    <w:pPr>
      <w:jc w:val="right"/>
      <w:rPr>
        <w:rStyle w:val="Nadruk"/>
        <w:color w:val="auto"/>
      </w:rPr>
    </w:pPr>
    <w:r w:rsidRPr="00E077E9">
      <w:rPr>
        <w:rStyle w:val="Nadruk"/>
        <w:color w:val="auto"/>
      </w:rPr>
      <w:fldChar w:fldCharType="begin"/>
    </w:r>
    <w:r w:rsidRPr="00E077E9">
      <w:rPr>
        <w:rStyle w:val="Nadruk"/>
        <w:color w:val="auto"/>
      </w:rPr>
      <w:instrText xml:space="preserve"> PAGE  \* Arabic  \* MERGEFORMAT </w:instrText>
    </w:r>
    <w:r w:rsidRPr="00E077E9">
      <w:rPr>
        <w:rStyle w:val="Nadruk"/>
        <w:color w:val="auto"/>
      </w:rPr>
      <w:fldChar w:fldCharType="separate"/>
    </w:r>
    <w:r w:rsidRPr="00E077E9">
      <w:rPr>
        <w:rStyle w:val="Nadruk"/>
        <w:color w:val="auto"/>
      </w:rPr>
      <w:t>2</w:t>
    </w:r>
    <w:r w:rsidRPr="00E077E9">
      <w:rPr>
        <w:rStyle w:val="Nadruk"/>
        <w:color w:val="auto"/>
      </w:rPr>
      <w:fldChar w:fldCharType="end"/>
    </w:r>
    <w:r w:rsidRPr="00E077E9">
      <w:rPr>
        <w:rStyle w:val="Nadruk"/>
        <w:color w:val="auto"/>
      </w:rPr>
      <w:t>/</w:t>
    </w:r>
    <w:r w:rsidRPr="00E077E9">
      <w:rPr>
        <w:rStyle w:val="Nadruk"/>
        <w:color w:val="auto"/>
      </w:rPr>
      <w:fldChar w:fldCharType="begin"/>
    </w:r>
    <w:r w:rsidRPr="00E077E9">
      <w:rPr>
        <w:rStyle w:val="Nadruk"/>
        <w:color w:val="auto"/>
      </w:rPr>
      <w:instrText xml:space="preserve"> NUMPAGES  \* Arabic  \* MERGEFORMAT </w:instrText>
    </w:r>
    <w:r w:rsidRPr="00E077E9">
      <w:rPr>
        <w:rStyle w:val="Nadruk"/>
        <w:color w:val="auto"/>
      </w:rPr>
      <w:fldChar w:fldCharType="separate"/>
    </w:r>
    <w:r w:rsidRPr="00E077E9">
      <w:rPr>
        <w:rStyle w:val="Nadruk"/>
        <w:color w:val="auto"/>
      </w:rPr>
      <w:t>2</w:t>
    </w:r>
    <w:r w:rsidRPr="00E077E9">
      <w:rPr>
        <w:rStyle w:val="Nadruk"/>
        <w:color w:val="auto"/>
      </w:rPr>
      <w:fldChar w:fldCharType="end"/>
    </w:r>
  </w:p>
  <w:p w14:paraId="5C728BF5" w14:textId="77777777" w:rsidR="00D70834" w:rsidRDefault="00D70834" w:rsidP="00CC4C3D">
    <w:pPr>
      <w:pStyle w:val="Voettekst"/>
    </w:pPr>
  </w:p>
  <w:tbl>
    <w:tblPr>
      <w:tblStyle w:val="ISOPROC-2019-tabelraster-grij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2"/>
      <w:gridCol w:w="3591"/>
      <w:gridCol w:w="3589"/>
    </w:tblGrid>
    <w:tr w:rsidR="00D70834" w14:paraId="763CD96A" w14:textId="77777777" w:rsidTr="00D70834">
      <w:tc>
        <w:tcPr>
          <w:tcW w:w="1667" w:type="pct"/>
          <w:shd w:val="clear" w:color="auto" w:fill="A3BF31" w:themeFill="accent2"/>
        </w:tcPr>
        <w:p w14:paraId="3170153D" w14:textId="77777777" w:rsidR="00D70834" w:rsidRPr="007C3060" w:rsidRDefault="00D70834" w:rsidP="004F1926">
          <w:pPr>
            <w:pStyle w:val="Voettekst"/>
            <w:rPr>
              <w:szCs w:val="18"/>
            </w:rPr>
          </w:pPr>
        </w:p>
      </w:tc>
      <w:tc>
        <w:tcPr>
          <w:tcW w:w="1667" w:type="pct"/>
          <w:shd w:val="clear" w:color="auto" w:fill="5D9AA1" w:themeFill="accent1"/>
        </w:tcPr>
        <w:p w14:paraId="33EB99D5" w14:textId="77777777" w:rsidR="00D70834" w:rsidRPr="007C3060" w:rsidRDefault="00D70834" w:rsidP="004F1926">
          <w:pPr>
            <w:pStyle w:val="Voettekst"/>
            <w:rPr>
              <w:szCs w:val="18"/>
            </w:rPr>
          </w:pPr>
        </w:p>
      </w:tc>
      <w:tc>
        <w:tcPr>
          <w:tcW w:w="1666" w:type="pct"/>
          <w:shd w:val="clear" w:color="auto" w:fill="980069" w:themeFill="accent3"/>
        </w:tcPr>
        <w:p w14:paraId="70793D98" w14:textId="77777777" w:rsidR="00D70834" w:rsidRPr="007C3060" w:rsidRDefault="00D70834" w:rsidP="004F1926">
          <w:pPr>
            <w:pStyle w:val="Voettekst"/>
            <w:rPr>
              <w:szCs w:val="18"/>
            </w:rPr>
          </w:pPr>
        </w:p>
      </w:tc>
    </w:tr>
  </w:tbl>
  <w:p w14:paraId="176DB89D" w14:textId="77777777" w:rsidR="00D70834" w:rsidRPr="00D251CF" w:rsidRDefault="00D70834" w:rsidP="0055743A">
    <w:pP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874BE" w14:textId="77777777" w:rsidR="00D70834" w:rsidRDefault="00D70834" w:rsidP="00CA3BE7">
    <w:pPr>
      <w:pStyle w:val="Voettekst"/>
    </w:pPr>
  </w:p>
  <w:tbl>
    <w:tblPr>
      <w:tblStyle w:val="ISOPROC-2019-tabelraster-grijs"/>
      <w:tblW w:w="5000" w:type="pct"/>
      <w:tblInd w:w="0" w:type="dxa"/>
      <w:tblBorders>
        <w:top w:val="none" w:sz="0" w:space="0" w:color="auto"/>
        <w:left w:val="none" w:sz="0" w:space="0" w:color="auto"/>
        <w:bottom w:val="none" w:sz="0" w:space="0" w:color="auto"/>
        <w:right w:val="none" w:sz="0" w:space="0" w:color="auto"/>
        <w:insideH w:val="single" w:sz="12" w:space="0" w:color="5D9AA1" w:themeColor="text2"/>
        <w:insideV w:val="single" w:sz="24" w:space="0" w:color="5D9AA1" w:themeColor="text2"/>
      </w:tblBorders>
      <w:tblCellMar>
        <w:left w:w="0" w:type="dxa"/>
        <w:right w:w="0" w:type="dxa"/>
      </w:tblCellMar>
      <w:tblLook w:val="04A0" w:firstRow="1" w:lastRow="0" w:firstColumn="1" w:lastColumn="0" w:noHBand="0" w:noVBand="1"/>
    </w:tblPr>
    <w:tblGrid>
      <w:gridCol w:w="3592"/>
      <w:gridCol w:w="3591"/>
      <w:gridCol w:w="3589"/>
    </w:tblGrid>
    <w:tr w:rsidR="00D70834" w14:paraId="0B05D062" w14:textId="77777777" w:rsidTr="00AA6820">
      <w:tc>
        <w:tcPr>
          <w:tcW w:w="1667" w:type="pct"/>
          <w:shd w:val="clear" w:color="auto" w:fill="auto"/>
        </w:tcPr>
        <w:p w14:paraId="498374D7" w14:textId="77777777" w:rsidR="00D70834" w:rsidRPr="00982E9A" w:rsidRDefault="00D70834" w:rsidP="00982E9A">
          <w:pPr>
            <w:pStyle w:val="Voettekst"/>
            <w:ind w:left="319"/>
            <w:rPr>
              <w:sz w:val="16"/>
              <w:szCs w:val="16"/>
            </w:rPr>
          </w:pPr>
          <w:r w:rsidRPr="00982E9A">
            <w:rPr>
              <w:sz w:val="16"/>
              <w:szCs w:val="16"/>
            </w:rPr>
            <w:t>ISOPROC cvba</w:t>
          </w:r>
          <w:r>
            <w:rPr>
              <w:sz w:val="16"/>
              <w:szCs w:val="16"/>
            </w:rPr>
            <w:t>/</w:t>
          </w:r>
          <w:proofErr w:type="spellStart"/>
          <w:r>
            <w:rPr>
              <w:sz w:val="16"/>
              <w:szCs w:val="16"/>
            </w:rPr>
            <w:t>scrl</w:t>
          </w:r>
          <w:proofErr w:type="spellEnd"/>
        </w:p>
        <w:p w14:paraId="53263173" w14:textId="77777777" w:rsidR="00D70834" w:rsidRDefault="00D70834" w:rsidP="00982E9A">
          <w:pPr>
            <w:pStyle w:val="Voettekst"/>
            <w:ind w:left="319"/>
            <w:rPr>
              <w:sz w:val="16"/>
              <w:szCs w:val="16"/>
            </w:rPr>
          </w:pPr>
          <w:r w:rsidRPr="00982E9A">
            <w:rPr>
              <w:sz w:val="16"/>
              <w:szCs w:val="16"/>
            </w:rPr>
            <w:t>Boterstraat 23a</w:t>
          </w:r>
        </w:p>
        <w:p w14:paraId="7B43DE58" w14:textId="77777777" w:rsidR="00D70834" w:rsidRDefault="00D70834" w:rsidP="00982E9A">
          <w:pPr>
            <w:pStyle w:val="Voettekst"/>
            <w:ind w:left="319"/>
            <w:rPr>
              <w:sz w:val="16"/>
              <w:szCs w:val="16"/>
            </w:rPr>
          </w:pPr>
          <w:r>
            <w:rPr>
              <w:sz w:val="16"/>
              <w:szCs w:val="16"/>
            </w:rPr>
            <w:t>2811 Hombeek (Mechelen)</w:t>
          </w:r>
        </w:p>
        <w:p w14:paraId="75B5C070" w14:textId="77777777" w:rsidR="00D70834" w:rsidRPr="00982E9A" w:rsidRDefault="00D70834" w:rsidP="00982E9A">
          <w:pPr>
            <w:pStyle w:val="Voettekst"/>
            <w:ind w:left="319"/>
            <w:rPr>
              <w:sz w:val="16"/>
              <w:szCs w:val="16"/>
            </w:rPr>
          </w:pPr>
          <w:r>
            <w:rPr>
              <w:sz w:val="16"/>
              <w:szCs w:val="16"/>
            </w:rPr>
            <w:t>België/</w:t>
          </w:r>
          <w:proofErr w:type="spellStart"/>
          <w:r>
            <w:rPr>
              <w:sz w:val="16"/>
              <w:szCs w:val="16"/>
            </w:rPr>
            <w:t>Belgique</w:t>
          </w:r>
          <w:proofErr w:type="spellEnd"/>
        </w:p>
      </w:tc>
      <w:tc>
        <w:tcPr>
          <w:tcW w:w="1667" w:type="pct"/>
          <w:shd w:val="clear" w:color="auto" w:fill="auto"/>
        </w:tcPr>
        <w:p w14:paraId="58A48D3C" w14:textId="77777777" w:rsidR="00D70834" w:rsidRPr="00852E7D" w:rsidRDefault="00D70834" w:rsidP="00982E9A">
          <w:pPr>
            <w:pStyle w:val="Voettekst"/>
            <w:ind w:left="567"/>
            <w:rPr>
              <w:sz w:val="16"/>
              <w:szCs w:val="16"/>
              <w:lang w:val="en-GB"/>
            </w:rPr>
          </w:pPr>
          <w:r w:rsidRPr="00852E7D">
            <w:rPr>
              <w:sz w:val="16"/>
              <w:szCs w:val="16"/>
              <w:lang w:val="en-GB"/>
            </w:rPr>
            <w:t>BTW/TVA BE 0474 142 631</w:t>
          </w:r>
        </w:p>
        <w:p w14:paraId="3BCB1D13" w14:textId="77777777" w:rsidR="00D70834" w:rsidRPr="00852E7D" w:rsidRDefault="00D70834" w:rsidP="00982E9A">
          <w:pPr>
            <w:pStyle w:val="Voettekst"/>
            <w:ind w:left="567"/>
            <w:rPr>
              <w:sz w:val="16"/>
              <w:szCs w:val="16"/>
              <w:lang w:val="en-GB"/>
            </w:rPr>
          </w:pPr>
          <w:r w:rsidRPr="00852E7D">
            <w:rPr>
              <w:sz w:val="16"/>
              <w:szCs w:val="16"/>
              <w:lang w:val="en-GB"/>
            </w:rPr>
            <w:t>RPR Brussel/</w:t>
          </w:r>
          <w:proofErr w:type="spellStart"/>
          <w:r w:rsidRPr="00852E7D">
            <w:rPr>
              <w:sz w:val="16"/>
              <w:szCs w:val="16"/>
              <w:lang w:val="en-GB"/>
            </w:rPr>
            <w:t>Bruxelles</w:t>
          </w:r>
          <w:proofErr w:type="spellEnd"/>
          <w:r w:rsidRPr="00852E7D">
            <w:rPr>
              <w:sz w:val="16"/>
              <w:szCs w:val="16"/>
              <w:lang w:val="en-GB"/>
            </w:rPr>
            <w:t xml:space="preserve"> </w:t>
          </w:r>
        </w:p>
        <w:p w14:paraId="7A27396A" w14:textId="77777777" w:rsidR="00D70834" w:rsidRPr="00852E7D" w:rsidRDefault="00D70834" w:rsidP="00982E9A">
          <w:pPr>
            <w:pStyle w:val="Voettekst"/>
            <w:ind w:left="567"/>
            <w:rPr>
              <w:sz w:val="16"/>
              <w:szCs w:val="16"/>
              <w:lang w:val="en-GB"/>
            </w:rPr>
          </w:pPr>
          <w:r w:rsidRPr="00852E7D">
            <w:rPr>
              <w:sz w:val="16"/>
              <w:szCs w:val="16"/>
              <w:lang w:val="en-GB"/>
            </w:rPr>
            <w:t>IBAN BE66 0016 4827 6843</w:t>
          </w:r>
        </w:p>
        <w:p w14:paraId="4DD29DB4" w14:textId="77777777" w:rsidR="00D70834" w:rsidRPr="00982E9A" w:rsidRDefault="00D70834" w:rsidP="00982E9A">
          <w:pPr>
            <w:pStyle w:val="Voettekst"/>
            <w:ind w:left="567"/>
            <w:rPr>
              <w:sz w:val="16"/>
              <w:szCs w:val="16"/>
            </w:rPr>
          </w:pPr>
          <w:r w:rsidRPr="00982E9A">
            <w:rPr>
              <w:sz w:val="16"/>
              <w:szCs w:val="16"/>
            </w:rPr>
            <w:t>BIC GEBA BE BB</w:t>
          </w:r>
        </w:p>
      </w:tc>
      <w:tc>
        <w:tcPr>
          <w:tcW w:w="1667" w:type="pct"/>
          <w:shd w:val="clear" w:color="auto" w:fill="auto"/>
        </w:tcPr>
        <w:p w14:paraId="23F8E885" w14:textId="77777777" w:rsidR="00D70834" w:rsidRPr="00982E9A" w:rsidRDefault="00D70834" w:rsidP="00982E9A">
          <w:pPr>
            <w:pStyle w:val="Voettekst"/>
            <w:ind w:left="567"/>
            <w:rPr>
              <w:sz w:val="16"/>
              <w:szCs w:val="16"/>
            </w:rPr>
          </w:pPr>
          <w:r w:rsidRPr="00982E9A">
            <w:rPr>
              <w:sz w:val="16"/>
              <w:szCs w:val="16"/>
            </w:rPr>
            <w:t>T. +32 15 62 39 35</w:t>
          </w:r>
        </w:p>
        <w:p w14:paraId="1EFCFFE6" w14:textId="77777777" w:rsidR="00D70834" w:rsidRPr="00982E9A" w:rsidRDefault="00D70834" w:rsidP="00982E9A">
          <w:pPr>
            <w:pStyle w:val="Voettekst"/>
            <w:ind w:left="567"/>
            <w:rPr>
              <w:sz w:val="16"/>
              <w:szCs w:val="16"/>
            </w:rPr>
          </w:pPr>
        </w:p>
        <w:p w14:paraId="6AF1DC44" w14:textId="77777777" w:rsidR="00D70834" w:rsidRPr="00982E9A" w:rsidRDefault="00151DDA" w:rsidP="00982E9A">
          <w:pPr>
            <w:pStyle w:val="Voettekst"/>
            <w:ind w:left="567"/>
            <w:rPr>
              <w:sz w:val="16"/>
              <w:szCs w:val="16"/>
            </w:rPr>
          </w:pPr>
          <w:hyperlink r:id="rId1" w:history="1">
            <w:r w:rsidR="00D70834" w:rsidRPr="000636F8">
              <w:rPr>
                <w:rStyle w:val="Hyperlink"/>
                <w:sz w:val="16"/>
                <w:szCs w:val="16"/>
              </w:rPr>
              <w:t>info@isoproc.be</w:t>
            </w:r>
          </w:hyperlink>
          <w:r w:rsidR="00D70834">
            <w:rPr>
              <w:sz w:val="16"/>
              <w:szCs w:val="16"/>
            </w:rPr>
            <w:t xml:space="preserve"> </w:t>
          </w:r>
        </w:p>
        <w:p w14:paraId="5B9C0201" w14:textId="77777777" w:rsidR="00D70834" w:rsidRPr="00982E9A" w:rsidRDefault="00151DDA" w:rsidP="00982E9A">
          <w:pPr>
            <w:pStyle w:val="Voettekst"/>
            <w:ind w:left="567"/>
            <w:rPr>
              <w:sz w:val="16"/>
              <w:szCs w:val="16"/>
            </w:rPr>
          </w:pPr>
          <w:hyperlink r:id="rId2" w:history="1">
            <w:r w:rsidR="00D70834" w:rsidRPr="000636F8">
              <w:rPr>
                <w:rStyle w:val="Hyperlink"/>
                <w:sz w:val="16"/>
                <w:szCs w:val="16"/>
              </w:rPr>
              <w:t>www.isoproc.be</w:t>
            </w:r>
          </w:hyperlink>
          <w:r w:rsidR="00D70834">
            <w:rPr>
              <w:sz w:val="16"/>
              <w:szCs w:val="16"/>
            </w:rPr>
            <w:t xml:space="preserve"> </w:t>
          </w:r>
        </w:p>
      </w:tc>
    </w:tr>
  </w:tbl>
  <w:p w14:paraId="79180847" w14:textId="77777777" w:rsidR="00D70834" w:rsidRDefault="00D70834" w:rsidP="00CA3BE7">
    <w:pPr>
      <w:pStyle w:val="Voettekst"/>
    </w:pPr>
  </w:p>
  <w:tbl>
    <w:tblPr>
      <w:tblStyle w:val="ISOPROC-2019-tabelraster-grijs"/>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2"/>
      <w:gridCol w:w="3591"/>
      <w:gridCol w:w="3589"/>
    </w:tblGrid>
    <w:tr w:rsidR="00D70834" w14:paraId="2E434D58" w14:textId="77777777" w:rsidTr="00982E9A">
      <w:tc>
        <w:tcPr>
          <w:tcW w:w="1667" w:type="pct"/>
          <w:shd w:val="clear" w:color="auto" w:fill="A3BF31" w:themeFill="accent2"/>
        </w:tcPr>
        <w:p w14:paraId="2A029357" w14:textId="77777777" w:rsidR="00D70834" w:rsidRPr="007C3060" w:rsidRDefault="00D70834" w:rsidP="00CA3BE7">
          <w:pPr>
            <w:pStyle w:val="Voettekst"/>
            <w:rPr>
              <w:szCs w:val="18"/>
            </w:rPr>
          </w:pPr>
        </w:p>
      </w:tc>
      <w:tc>
        <w:tcPr>
          <w:tcW w:w="1667" w:type="pct"/>
          <w:shd w:val="clear" w:color="auto" w:fill="5D9AA1" w:themeFill="accent1"/>
        </w:tcPr>
        <w:p w14:paraId="3FDB3AB6" w14:textId="77777777" w:rsidR="00D70834" w:rsidRPr="007C3060" w:rsidRDefault="00D70834" w:rsidP="00CA3BE7">
          <w:pPr>
            <w:pStyle w:val="Voettekst"/>
            <w:rPr>
              <w:szCs w:val="18"/>
            </w:rPr>
          </w:pPr>
        </w:p>
      </w:tc>
      <w:tc>
        <w:tcPr>
          <w:tcW w:w="1666" w:type="pct"/>
          <w:shd w:val="clear" w:color="auto" w:fill="980069" w:themeFill="accent3"/>
        </w:tcPr>
        <w:p w14:paraId="5868243E" w14:textId="77777777" w:rsidR="00D70834" w:rsidRPr="007C3060" w:rsidRDefault="00D70834" w:rsidP="00CA3BE7">
          <w:pPr>
            <w:pStyle w:val="Voettekst"/>
            <w:rPr>
              <w:szCs w:val="18"/>
            </w:rPr>
          </w:pPr>
        </w:p>
      </w:tc>
    </w:tr>
  </w:tbl>
  <w:p w14:paraId="66FAF53E" w14:textId="77777777" w:rsidR="00D70834" w:rsidRPr="00BE5C2E" w:rsidRDefault="00D70834" w:rsidP="00CA3B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F2890" w14:textId="77777777" w:rsidR="004575EC" w:rsidRDefault="004575EC" w:rsidP="00CA3BE7">
      <w:r>
        <w:separator/>
      </w:r>
    </w:p>
    <w:p w14:paraId="4593D82E" w14:textId="77777777" w:rsidR="004575EC" w:rsidRDefault="004575EC"/>
    <w:p w14:paraId="53D93B92" w14:textId="77777777" w:rsidR="004575EC" w:rsidRDefault="004575EC"/>
    <w:p w14:paraId="4FCF283B" w14:textId="77777777" w:rsidR="004575EC" w:rsidRDefault="004575EC"/>
  </w:footnote>
  <w:footnote w:type="continuationSeparator" w:id="0">
    <w:p w14:paraId="1B3971F1" w14:textId="77777777" w:rsidR="004575EC" w:rsidRDefault="004575EC" w:rsidP="00CA3BE7">
      <w:r>
        <w:continuationSeparator/>
      </w:r>
    </w:p>
    <w:p w14:paraId="05D4F08A" w14:textId="77777777" w:rsidR="004575EC" w:rsidRDefault="004575EC"/>
    <w:p w14:paraId="551C8445" w14:textId="77777777" w:rsidR="004575EC" w:rsidRDefault="004575EC"/>
    <w:p w14:paraId="420B365D" w14:textId="77777777" w:rsidR="004575EC" w:rsidRDefault="004575EC"/>
  </w:footnote>
  <w:footnote w:type="continuationNotice" w:id="1">
    <w:p w14:paraId="5A022F8E" w14:textId="77777777" w:rsidR="004575EC" w:rsidRDefault="004575EC">
      <w:pPr>
        <w:spacing w:before="0" w:after="0" w:line="240" w:lineRule="auto"/>
      </w:pPr>
    </w:p>
  </w:footnote>
  <w:footnote w:id="2">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 Block'Air Particle a été testé en 12 mm. Le domaine d’application autorise des panneaux plus épais (≥ 12 mm). Le panneau standard en stock a une épaisseur de 13 mm ; le 12 mm est disponible sur demande.</w:t>
      </w:r>
    </w:p>
  </w:footnote>
  <w:footnote w:id="3">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Rapport de classement 24817B, Warringtonfire Gent (WFRGENT nv), signé le 24/09/2026, propriété d’ISOPROC ; basé sur les rapports d’essai 24817A (16/06/2026) et 24889A-rev1 (30/07/2026). Le rapport ne peut être utilisé ou reproduit que dans son intégralité et est disponible sur demande via technical@isoproc.be.</w:t>
      </w:r>
    </w:p>
  </w:footnote>
  <w:footnote w:id="4">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 domaine d’application découle du paragraphe 13 de la NBN EN 1365-1 et est repris au paragraphe 3.3 du rapport de classement 24817B. Tout écart en dehors de ces limites, par exemple une hauteur de paroi supérieure à 3.000 mm, un entraxe plus grand, des panneaux plus minces ou plus grands ou une charge plus élevée, n’est pas couvert par le classement. Soumettez un tel écart au préalable à ISOPROC.</w:t>
      </w:r>
    </w:p>
  </w:footnote>
  <w:footnote w:id="5">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Les deux essais ont été réalisés avec 16 kN par montant, pour un entraxe de 400 mm ; soit 1,98 N/m</w:t>
      </w:r>
      <w:r>
        <w:rPr>
          <w:caps w:val="0"/>
          <w:color w:val="F05133"/>
          <w:sz w:val="16"/>
          <w:szCs w:val="16"/>
        </w:rPr>
        <w:t xml:space="preserve">m²</w:t>
      </w:r>
      <w:r>
        <w:rPr>
          <w:color w:val="F05133"/>
          <w:sz w:val="16"/>
          <w:szCs w:val="16"/>
        </w:rPr>
        <w:t xml:space="preserve"> sur la section du montant et 144 kN sur l’ensemble de l’élément d’essai. L’ingénieur en stabilité vérifie la charge réelle par montant par rapport à cette valeur.</w:t>
      </w:r>
    </w:p>
  </w:footnote>
  <w:footnote w:id="6">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Dans les deux essais, un boîtier d’encastrement en plastique non protégé (ABB Haf HW52-F, diamètre 76 mm, profondeur 50 mm) était placé directement dans la ouate de cellulose côté intérieur, sans vide technique. Un vide technique n’est donc pas une condition du résultat ; il permet toutefois de maintenir les conduites et les boîtiers en dehors de la couche d’étanchéité à l’air. Le rapport de classement ne règle pas explicitement le nombre de boîtiers d’encastrement, leur distance mutuelle ni leur pose dos à dos, et ne mentionne pas explicitement l’ajout d’une couche supplémentaire dans le domaine d’application. Discutez-en au préalable avec ISOPROC.</w:t>
      </w:r>
    </w:p>
  </w:footnote>
  <w:footnote w:id="7">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L’arrêté royal du 7 juillet 1994 fixant les normes de base en matière de prévention contre l’incendie impose, selon la hauteur du bâtiment, des exigences de réaction au feu au système de revêtement de façade. Ces exigences s’appliquent indépendamment du classement REI de la paroi. Les essais ont été réalisés sans bardage.</w:t>
      </w:r>
    </w:p>
  </w:footnote>
  <w:footnote w:id="8">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Lors des essais, les montants ont été fixés avec des pointes lisses Simpson Strong-Tie, en acier, 4 × 100 mm, trois pointes par montant de chaque côté.</w:t>
      </w:r>
    </w:p>
  </w:footnote>
  <w:footnote w:id="9">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Dans les deux essais, les joints des plaques de plâtre n’ont pas été enduits et les joints du parement extérieur n’ont pas été recouverts de bande adhésive. La finition de ces joints n’est donc pas une condition de la résistance au feu ; elle reste toutefois nécessaire pour la finition souhaitée et, côté extérieur, pour la protection contre les intempéries pendant la phase de construction.</w:t>
      </w:r>
    </w:p>
  </w:footnote>
  <w:footnote w:id="10">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Dimensions maximales des panneaux dans le domaine d’application du classement. Des panneaux plus grands ne sont pas couverts.</w:t>
      </w:r>
    </w:p>
  </w:footnote>
  <w:footnote w:id="11">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 parement extérieur est le point sensible lors de l’insufflation : la plaque peut se fissurer sous la pression d’insufflation. D’où un entraxe d’agrafage plus serré que dans une composition standard et l’évacuation active de l’air pendant l’insufflation.</w:t>
      </w:r>
    </w:p>
  </w:footnote>
  <w:footnote w:id="12">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Selon le fabricant, la plaque peut rester exposée aux intempéries jusqu’à 12 mois, à condition que les joints soient rendus étanches.</w:t>
      </w:r>
    </w:p>
  </w:footnote>
  <w:footnote w:id="13">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Testé : bois massif aboudé KVH en épicéa C24, 45 × 180 mm, masse volumique de 413 à 417 </w:t>
      </w:r>
      <w:r>
        <w:rPr>
          <w:caps w:val="0"/>
          <w:color w:val="F05133"/>
          <w:sz w:val="16"/>
          <w:szCs w:val="16"/>
        </w:rPr>
        <w:t xml:space="preserve">kg/m³</w:t>
      </w:r>
      <w:r>
        <w:rPr>
          <w:color w:val="F05133"/>
          <w:sz w:val="16"/>
          <w:szCs w:val="16"/>
        </w:rPr>
        <w:t xml:space="preserve">. Le domaine d’application autorise une profondeur de montant plus grande (≥ 180 mm). Une classe de résistance inférieure ou une autre largeur de montant n’est pas explicitement couverte.</w:t>
      </w:r>
    </w:p>
  </w:footnote>
  <w:footnote w:id="14">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Les parois testées ont été insufflées à 50 </w:t>
      </w:r>
      <w:r>
        <w:rPr>
          <w:caps w:val="0"/>
          <w:color w:val="F05133"/>
          <w:sz w:val="16"/>
          <w:szCs w:val="16"/>
        </w:rPr>
        <w:t xml:space="preserve">kg/m³</w:t>
      </w:r>
      <w:r>
        <w:rPr>
          <w:color w:val="F05133"/>
          <w:sz w:val="16"/>
          <w:szCs w:val="16"/>
        </w:rPr>
        <w:t xml:space="preserve">. La masse volumique ne figure pas comme paramètre dans le domaine d’application du classement ; ISOPROC prescrit donc au minimum 50 </w:t>
      </w:r>
      <w:r>
        <w:rPr>
          <w:caps w:val="0"/>
          <w:color w:val="F05133"/>
          <w:sz w:val="16"/>
          <w:szCs w:val="16"/>
        </w:rPr>
        <w:t xml:space="preserve">kg/m³</w:t>
      </w:r>
      <w:r>
        <w:rPr>
          <w:color w:val="F05133"/>
          <w:sz w:val="16"/>
          <w:szCs w:val="16"/>
        </w:rPr>
        <w:t xml:space="preserve">, même lorsque le tableau des masses volumiques du fabricant autoriserait une valeur inférieure pour la même épaisseur.</w:t>
      </w:r>
    </w:p>
  </w:footnote>
  <w:footnote w:id="15">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La classe de réaction au feu de l’isolant n’est pas un paramètre du classement REI : celui-ci s’applique à la composition complète de la paroi. Indiquez la classe selon la déclaration des performances en vigueur au moment de l’adjudication.</w:t>
      </w:r>
    </w:p>
  </w:footnote>
  <w:footnote w:id="16">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Dimensions maximales des panneaux dans le domaine d’application du classement. Des panneaux plus longs, par exemple de 3.300 mm, ne sont pas couverts.</w:t>
      </w:r>
    </w:p>
  </w:footnote>
  <w:footnote w:id="17">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Dans le rapport d’essai 24889A-rev1, le panneau de particules est décrit avec un joint de 4 mm entre les panneaux.</w:t>
      </w:r>
    </w:p>
  </w:footnote>
  <w:footnote w:id="18">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Dimensions maximales des panneaux dans le domaine d’application du classement. Des panneaux plus grands ne sont pas couverts.</w:t>
      </w:r>
    </w:p>
  </w:footnote>
  <w:footnote w:id="19">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 panneau de particules a été testé en 12 mm. Le domaine d’application du classement autorise des panneaux plus épais (≥ 12 mm).</w:t>
      </w:r>
    </w:p>
  </w:footnote>
  <w:footnote w:id="20">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La résistance au feu étant valable pour la composition complète testée, il ne suffit pas qu’un composant alternatif présente séparément les mêmes caractéristiques de produit. Une solution équivalente n’est acceptée que si l’entrepreneur présente son propre rapport de classement pour la composition complète de la paroi intégrant ce composant.</w:t>
      </w:r>
    </w:p>
  </w:footnote>
  <w:footnote w:id="21">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 domaine d’application découle du paragraphe 13 de la NBN EN 1365-1 et est repris dans le rapport de classement. Tout écart en dehors de ces limites, par exemple une hauteur de paroi supérieure à 3.000 mm, un entraxe plus grand, des panneaux plus minces ou plus grands ou une charge plus élevée, n’est pas couvert par le classement. Soumettez un tel écart au préalable au concepteur.</w:t>
      </w:r>
    </w:p>
  </w:footnote>
  <w:footnote w:id="22">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Les deux essais ont été réalisés avec 16 kN par montant, pour un entraxe de 400 mm ; soit 1,98 N/m</w:t>
      </w:r>
      <w:r>
        <w:rPr>
          <w:caps w:val="0"/>
          <w:color w:val="F05133"/>
          <w:sz w:val="16"/>
          <w:szCs w:val="16"/>
        </w:rPr>
        <w:t xml:space="preserve">m²</w:t>
      </w:r>
      <w:r>
        <w:rPr>
          <w:color w:val="F05133"/>
          <w:sz w:val="16"/>
          <w:szCs w:val="16"/>
        </w:rPr>
        <w:t xml:space="preserve"> sur la section du montant et 144 kN sur l’ensemble de l’élément d’essai. L’ingénieur en stabilité vérifie la charge réelle par montant par rapport à cette valeur.</w:t>
      </w:r>
    </w:p>
  </w:footnote>
  <w:footnote w:id="23">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Dans les deux essais, un boîtier d’encastrement en plastique non protégé (diamètre 76 mm, profondeur 50 mm) était placé directement dans la ouate de cellulose côté intérieur, sans vide technique. Un vide technique n’est donc pas une condition du résultat ; il permet toutefois de maintenir les conduites et les boîtiers en dehors de la couche d’étanchéité à l’air. Le rapport de classement ne règle pas explicitement le nombre de boîtiers d’encastrement, leur distance mutuelle ni leur pose dos à dos, et ne mentionne pas explicitement l’ajout d’une couche supplémentaire dans le domaine d’application. Discutez-en au préalable avec le concepteur.</w:t>
      </w:r>
    </w:p>
  </w:footnote>
  <w:footnote w:id="24">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L’arrêté royal du 7 juillet 1994 fixant les normes de base en matière de prévention contre l’incendie impose, selon la hauteur du bâtiment, des exigences de réaction au feu au système de revêtement de façade. Ces exigences s’appliquent indépendamment du classement REI de la paroi. Les essais ont été réalisés sans bardage.</w:t>
      </w:r>
    </w:p>
  </w:footnote>
  <w:footnote w:id="25">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Lors des essais, les montants ont été fixés avec des pointes lisses en acier, 4 × 100 mm, trois pointes par montant de chaque côté.</w:t>
      </w:r>
    </w:p>
  </w:footnote>
  <w:footnote w:id="26">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Dans les deux essais, les joints des plaques de plâtre n’ont pas été enduits et les joints du parement extérieur n’ont pas été recouverts de bande adhésive. La finition de ces joints n’est donc pas une condition de la résistance au feu ; elle reste toutefois nécessaire pour la finition souhaitée et, côté extérieur, pour la protection contre les intempéries pendant la phase de construction.</w:t>
      </w:r>
    </w:p>
  </w:footnote>
  <w:footnote w:id="27">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Dimensions maximales des panneaux dans le domaine d’application du classement. Des panneaux plus grands ne sont pas couverts.</w:t>
      </w:r>
    </w:p>
  </w:footnote>
  <w:footnote w:id="28">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 parement extérieur est le point sensible lors de l’insufflation : la plaque peut se fissurer sous la pression d’insufflation. D’où un entraxe d’agrafage plus serré que dans une composition standard et l’évacuation active de l’air pendant l’insufflation.</w:t>
      </w:r>
    </w:p>
  </w:footnote>
  <w:footnote w:id="29">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Selon le fabricant, la plaque peut rester exposée aux intempéries jusqu’à 12 mois, à condition que les joints soient rendus étanches.</w:t>
      </w:r>
    </w:p>
  </w:footnote>
  <w:footnote w:id="30">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Testé : bois massif aboudé en épicéa C24, 45 × 180 mm, masse volumique de 413 à 417 </w:t>
      </w:r>
      <w:r>
        <w:rPr>
          <w:caps w:val="0"/>
          <w:color w:val="F05133"/>
          <w:sz w:val="16"/>
          <w:szCs w:val="16"/>
        </w:rPr>
        <w:t xml:space="preserve">kg/m³</w:t>
      </w:r>
      <w:r>
        <w:rPr>
          <w:color w:val="F05133"/>
          <w:sz w:val="16"/>
          <w:szCs w:val="16"/>
        </w:rPr>
        <w:t xml:space="preserve">. Le domaine d’application autorise une profondeur de montant plus grande (≥ 180 mm). Une classe de résistance inférieure ou une autre largeur de montant n’est pas explicitement couverte.</w:t>
      </w:r>
    </w:p>
  </w:footnote>
  <w:footnote w:id="31">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Les parois testées ont été insufflées à 50 </w:t>
      </w:r>
      <w:r>
        <w:rPr>
          <w:caps w:val="0"/>
          <w:color w:val="F05133"/>
          <w:sz w:val="16"/>
          <w:szCs w:val="16"/>
        </w:rPr>
        <w:t xml:space="preserve">kg/m³</w:t>
      </w:r>
      <w:r>
        <w:rPr>
          <w:color w:val="F05133"/>
          <w:sz w:val="16"/>
          <w:szCs w:val="16"/>
        </w:rPr>
        <w:t xml:space="preserve">. La masse volumique ne figure pas comme paramètre dans le domaine d’application du classement ; le concepteur prescrit donc au minimum 50 </w:t>
      </w:r>
      <w:r>
        <w:rPr>
          <w:caps w:val="0"/>
          <w:color w:val="F05133"/>
          <w:sz w:val="16"/>
          <w:szCs w:val="16"/>
        </w:rPr>
        <w:t xml:space="preserve">kg/m³</w:t>
      </w:r>
      <w:r>
        <w:rPr>
          <w:color w:val="F05133"/>
          <w:sz w:val="16"/>
          <w:szCs w:val="16"/>
        </w:rPr>
        <w:t xml:space="preserve">, même lorsque le tableau des masses volumiques du fabricant autoriserait une valeur inférieure pour la même épaisseur.</w:t>
      </w:r>
    </w:p>
  </w:footnote>
  <w:footnote w:id="32">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La classe de réaction au feu de l’isolant n’est pas un paramètre du classement REI : celui-ci s’applique à la composition complète de la paroi. Indiquez la classe selon la déclaration des performances en vigueur au moment de l’adjudication.</w:t>
      </w:r>
    </w:p>
  </w:footnote>
  <w:footnote w:id="33">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Dimensions maximales des panneaux dans le domaine d’application du classement. Des panneaux plus longs, par exemple de 3.300 mm, ne sont pas couverts.</w:t>
      </w:r>
    </w:p>
  </w:footnote>
  <w:footnote w:id="34">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C’est ainsi que le panneau de particules a été mis en œuvre dans la composition testée.</w:t>
      </w:r>
    </w:p>
  </w:footnote>
  <w:footnote w:id="35">
    <w:p>
      <w:pPr>
        <w:pStyle w:val="Voetnoottekst"/>
        <w:ind w:left="0" w:firstLine="0"/>
        <w:rPr>
          <w:color w:val="F05133"/>
          <w:sz w:val="16"/>
        </w:rPr>
      </w:pPr>
      <w:r>
        <w:rPr>
          <w:rStyle w:val="Voetnootmarkering"/>
          <w:color w:val="F05133"/>
          <w:sz w:val="16"/>
        </w:rPr>
        <w:footnoteRef/>
      </w:r>
      <w:r>
        <w:rPr>
          <w:color w:val="F05133"/>
          <w:sz w:val="16"/>
        </w:rPr>
        <w:t xml:space="preserve"> </w:t>
      </w:r>
      <w:r>
        <w:rPr>
          <w:color w:val="F05133"/>
          <w:sz w:val="16"/>
          <w:szCs w:val="16"/>
        </w:rPr>
        <w:t xml:space="preserve">Dimensions maximales des panneaux dans le domaine d’application du classement. Des panneaux plus grands ne sont pas couverts.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386C" w14:textId="77777777" w:rsidR="00D70834" w:rsidRPr="005A6E7F" w:rsidRDefault="00D70834">
    <w:pPr>
      <w:pStyle w:val="Koptekst"/>
      <w:rPr>
        <w:lang w:val="fr-BE"/>
      </w:rPr>
    </w:pPr>
  </w:p>
  <w:p w14:paraId="74D179DF" w14:textId="77777777" w:rsidR="00D70834" w:rsidRPr="005A6E7F" w:rsidRDefault="00D70834">
    <w:pPr>
      <w:pStyle w:val="Koptekst"/>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ISOPROC-2019-tabelraster-grijs"/>
      <w:tblW w:w="5000" w:type="pct"/>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13"/>
      <w:gridCol w:w="4491"/>
      <w:gridCol w:w="1968"/>
    </w:tblGrid>
    <w:tr w:rsidR="00D70834" w14:paraId="1FF8AABF" w14:textId="77777777" w:rsidTr="53CD79FA">
      <w:tc>
        <w:tcPr>
          <w:tcW w:w="4313" w:type="dxa"/>
          <w:vMerge w:val="restart"/>
          <w:vAlign w:val="center"/>
        </w:tcPr>
        <w:p w14:paraId="05B4FF56" w14:textId="22A82E7D" w:rsidR="00D70834" w:rsidRDefault="53CD79FA" w:rsidP="00C1522E">
          <w:pPr>
            <w:pStyle w:val="Koptekst"/>
            <w:tabs>
              <w:tab w:val="clear" w:pos="4536"/>
              <w:tab w:val="clear" w:pos="9072"/>
            </w:tabs>
            <w:rPr>
              <w:b/>
              <w:bCs/>
              <w:color w:val="auto"/>
              <w:sz w:val="24"/>
              <w:szCs w:val="24"/>
              <w:lang w:val="nl-NL"/>
            </w:rPr>
          </w:pPr>
          <w:r w:rsidRPr="53CD79FA">
            <w:rPr>
              <w:b/>
              <w:bCs/>
              <w:noProof/>
              <w:color w:val="auto"/>
              <w:sz w:val="28"/>
              <w:szCs w:val="28"/>
            </w:rPr>
            <w:t xml:space="preserve"> </w:t>
          </w:r>
          <w:r>
            <w:rPr>
              <w:noProof/>
            </w:rPr>
            <w:drawing>
              <wp:inline distT="0" distB="0" distL="0" distR="0" wp14:anchorId="0431CBD4" wp14:editId="61D400D3">
                <wp:extent cx="2123201" cy="506556"/>
                <wp:effectExtent l="0" t="0" r="0" b="8255"/>
                <wp:docPr id="63544710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2123201" cy="506556"/>
                        </a:xfrm>
                        <a:prstGeom prst="rect">
                          <a:avLst/>
                        </a:prstGeom>
                      </pic:spPr>
                    </pic:pic>
                  </a:graphicData>
                </a:graphic>
              </wp:inline>
            </w:drawing>
          </w:r>
        </w:p>
      </w:tc>
      <w:tc>
        <w:tcPr>
          <w:tcW w:w="4491" w:type="dxa"/>
          <w:vMerge w:val="restart"/>
          <w:vAlign w:val="center"/>
        </w:tcPr>
        <w:p w14:paraId="0BB42E7B" w14:textId="77777777" w:rsidR="00D70834" w:rsidRDefault="53CD79FA" w:rsidP="00C1522E">
          <w:pPr>
            <w:pStyle w:val="Koptekst"/>
            <w:tabs>
              <w:tab w:val="clear" w:pos="4536"/>
              <w:tab w:val="clear" w:pos="9072"/>
            </w:tabs>
            <w:jc w:val="right"/>
            <w:rPr>
              <w:b/>
              <w:bCs/>
              <w:color w:val="auto"/>
              <w:sz w:val="24"/>
              <w:szCs w:val="24"/>
              <w:lang w:val="nl-NL"/>
            </w:rPr>
          </w:pPr>
          <w:r>
            <w:rPr>
              <w:noProof/>
            </w:rPr>
            <w:drawing>
              <wp:inline distT="0" distB="0" distL="0" distR="0" wp14:anchorId="51324493" wp14:editId="6EB0E8A6">
                <wp:extent cx="421005" cy="421005"/>
                <wp:effectExtent l="0" t="0" r="0" b="0"/>
                <wp:docPr id="407956528"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pic:nvPicPr>
                      <pic:blipFill>
                        <a:blip r:embed="rId2">
                          <a:extLst>
                            <a:ext uri="{28A0092B-C50C-407E-A947-70E740481C1C}">
                              <a14:useLocalDpi xmlns:a14="http://schemas.microsoft.com/office/drawing/2010/main" val="0"/>
                            </a:ext>
                          </a:extLst>
                        </a:blip>
                        <a:stretch>
                          <a:fillRect/>
                        </a:stretch>
                      </pic:blipFill>
                      <pic:spPr>
                        <a:xfrm>
                          <a:off x="0" y="0"/>
                          <a:ext cx="421005" cy="421005"/>
                        </a:xfrm>
                        <a:prstGeom prst="rect">
                          <a:avLst/>
                        </a:prstGeom>
                      </pic:spPr>
                    </pic:pic>
                  </a:graphicData>
                </a:graphic>
              </wp:inline>
            </w:drawing>
          </w:r>
        </w:p>
      </w:tc>
      <w:tc>
        <w:tcPr>
          <w:tcW w:w="1968" w:type="dxa"/>
        </w:tcPr>
        <w:p w14:paraId="1A67ECEB" w14:textId="181148F4" w:rsidR="00D70834" w:rsidRPr="00C1522E" w:rsidRDefault="00D70834" w:rsidP="00C1522E">
          <w:pPr>
            <w:pStyle w:val="Koptekst"/>
            <w:tabs>
              <w:tab w:val="clear" w:pos="4536"/>
              <w:tab w:val="clear" w:pos="9072"/>
            </w:tabs>
            <w:jc w:val="right"/>
            <w:rPr>
              <w:b/>
              <w:bCs/>
              <w:color w:val="auto"/>
              <w:sz w:val="28"/>
              <w:szCs w:val="28"/>
              <w:lang w:val="nl-NL"/>
            </w:rPr>
          </w:pPr>
          <w:r w:rsidRPr="00C1522E">
            <w:rPr>
              <w:b/>
              <w:bCs/>
              <w:color w:val="auto"/>
              <w:sz w:val="28"/>
              <w:szCs w:val="28"/>
              <w:lang w:val="nl-NL"/>
            </w:rPr>
            <w:t>W</w:t>
          </w:r>
          <w:r>
            <w:rPr>
              <w:b/>
              <w:bCs/>
              <w:color w:val="auto"/>
              <w:sz w:val="28"/>
              <w:szCs w:val="28"/>
              <w:lang w:val="nl-NL"/>
            </w:rPr>
            <w:t>ees gerust</w:t>
          </w:r>
        </w:p>
      </w:tc>
    </w:tr>
    <w:tr w:rsidR="00D70834" w14:paraId="3DC1940C" w14:textId="77777777" w:rsidTr="53CD79FA">
      <w:tc>
        <w:tcPr>
          <w:tcW w:w="4313" w:type="dxa"/>
          <w:vMerge/>
        </w:tcPr>
        <w:p w14:paraId="21BB1DC8" w14:textId="77777777" w:rsidR="00D70834" w:rsidRDefault="00D70834" w:rsidP="00C1522E">
          <w:pPr>
            <w:pStyle w:val="Koptekst"/>
            <w:tabs>
              <w:tab w:val="clear" w:pos="4536"/>
              <w:tab w:val="clear" w:pos="9072"/>
            </w:tabs>
            <w:jc w:val="right"/>
            <w:rPr>
              <w:b/>
              <w:bCs/>
              <w:color w:val="auto"/>
              <w:sz w:val="24"/>
              <w:szCs w:val="24"/>
              <w:lang w:val="nl-NL"/>
            </w:rPr>
          </w:pPr>
        </w:p>
      </w:tc>
      <w:tc>
        <w:tcPr>
          <w:tcW w:w="4491" w:type="dxa"/>
          <w:vMerge/>
        </w:tcPr>
        <w:p w14:paraId="22724492" w14:textId="77777777" w:rsidR="00D70834" w:rsidRDefault="00D70834" w:rsidP="00C1522E">
          <w:pPr>
            <w:pStyle w:val="Koptekst"/>
            <w:tabs>
              <w:tab w:val="clear" w:pos="4536"/>
              <w:tab w:val="clear" w:pos="9072"/>
            </w:tabs>
            <w:jc w:val="right"/>
            <w:rPr>
              <w:b/>
              <w:bCs/>
              <w:color w:val="auto"/>
              <w:sz w:val="24"/>
              <w:szCs w:val="24"/>
              <w:lang w:val="nl-NL"/>
            </w:rPr>
          </w:pPr>
        </w:p>
      </w:tc>
      <w:tc>
        <w:tcPr>
          <w:tcW w:w="1968" w:type="dxa"/>
        </w:tcPr>
        <w:p w14:paraId="14BD5063" w14:textId="4F0C0686" w:rsidR="00D70834" w:rsidRPr="00CB7B8B" w:rsidRDefault="00D70834" w:rsidP="00C1522E">
          <w:pPr>
            <w:pStyle w:val="Koptekst"/>
            <w:tabs>
              <w:tab w:val="clear" w:pos="4536"/>
              <w:tab w:val="clear" w:pos="9072"/>
            </w:tabs>
            <w:jc w:val="right"/>
            <w:rPr>
              <w:b/>
              <w:bCs/>
              <w:color w:val="auto"/>
              <w:sz w:val="28"/>
              <w:szCs w:val="28"/>
              <w:lang w:val="nl-NL"/>
            </w:rPr>
          </w:pPr>
          <w:proofErr w:type="spellStart"/>
          <w:r w:rsidRPr="00CB7B8B">
            <w:rPr>
              <w:b/>
              <w:bCs/>
              <w:color w:val="5D9AA1" w:themeColor="text2"/>
              <w:sz w:val="28"/>
              <w:szCs w:val="28"/>
              <w:lang w:val="nl-NL"/>
            </w:rPr>
            <w:t>Soyer</w:t>
          </w:r>
          <w:proofErr w:type="spellEnd"/>
          <w:r w:rsidRPr="00CB7B8B">
            <w:rPr>
              <w:b/>
              <w:bCs/>
              <w:color w:val="5D9AA1" w:themeColor="text2"/>
              <w:sz w:val="28"/>
              <w:szCs w:val="28"/>
              <w:lang w:val="nl-NL"/>
            </w:rPr>
            <w:t xml:space="preserve"> </w:t>
          </w:r>
          <w:proofErr w:type="spellStart"/>
          <w:r w:rsidRPr="00CB7B8B">
            <w:rPr>
              <w:b/>
              <w:bCs/>
              <w:color w:val="5D9AA1" w:themeColor="text2"/>
              <w:sz w:val="28"/>
              <w:szCs w:val="28"/>
              <w:lang w:val="nl-NL"/>
            </w:rPr>
            <w:t>serein</w:t>
          </w:r>
          <w:proofErr w:type="spellEnd"/>
        </w:p>
      </w:tc>
    </w:tr>
  </w:tbl>
  <w:p w14:paraId="6D9FAB77" w14:textId="5B324D79" w:rsidR="00D70834" w:rsidRPr="00CB7B8B" w:rsidRDefault="00D70834" w:rsidP="00085FF4">
    <w:pPr>
      <w:jc w:val="right"/>
      <w:rPr>
        <w:lang w:val="de-DE"/>
      </w:rPr>
    </w:pPr>
    <w:r w:rsidRPr="00CB7B8B">
      <w:rPr>
        <w:noProof/>
        <w:sz w:val="2"/>
        <w:szCs w:val="2"/>
      </w:rPr>
      <mc:AlternateContent>
        <mc:Choice Requires="wps">
          <w:drawing>
            <wp:anchor distT="0" distB="0" distL="114300" distR="114300" simplePos="0" relativeHeight="251658241" behindDoc="1" locked="0" layoutInCell="1" allowOverlap="1" wp14:anchorId="3ED0064E" wp14:editId="4D8EB733">
              <wp:simplePos x="0" y="0"/>
              <wp:positionH relativeFrom="page">
                <wp:posOffset>7205032</wp:posOffset>
              </wp:positionH>
              <wp:positionV relativeFrom="paragraph">
                <wp:posOffset>209550</wp:posOffset>
              </wp:positionV>
              <wp:extent cx="359410" cy="89535"/>
              <wp:effectExtent l="0" t="0" r="21590" b="24765"/>
              <wp:wrapNone/>
              <wp:docPr id="9" name="Rechthoek 9"/>
              <wp:cNvGraphicFramePr/>
              <a:graphic xmlns:a="http://schemas.openxmlformats.org/drawingml/2006/main">
                <a:graphicData uri="http://schemas.microsoft.com/office/word/2010/wordprocessingShape">
                  <wps:wsp>
                    <wps:cNvSpPr/>
                    <wps:spPr>
                      <a:xfrm>
                        <a:off x="0" y="0"/>
                        <a:ext cx="359410" cy="8953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hthoek 9" style="position:absolute;margin-left:567.35pt;margin-top:16.5pt;width:28.3pt;height:7.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2f2f2 [3052]" strokecolor="#f2f2f2 [3052]" strokeweight="1pt" w14:anchorId="21EBC7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">
              <w10:wrap anchorx="page"/>
            </v:rect>
          </w:pict>
        </mc:Fallback>
      </mc:AlternateContent>
    </w:r>
    <w:proofErr w:type="spellStart"/>
    <w:r w:rsidRPr="00CB7B8B">
      <w:rPr>
        <w:lang w:val="de-DE"/>
      </w:rPr>
      <w:t>Versie</w:t>
    </w:r>
    <w:proofErr w:type="spellEnd"/>
    <w:r w:rsidRPr="00CB7B8B">
      <w:rPr>
        <w:lang w:val="de-DE"/>
      </w:rPr>
      <w:t xml:space="preserve"> / </w:t>
    </w:r>
    <w:proofErr w:type="spellStart"/>
    <w:r w:rsidRPr="00CB7B8B">
      <w:rPr>
        <w:lang w:val="de-DE"/>
      </w:rPr>
      <w:t>version</w:t>
    </w:r>
    <w:proofErr w:type="spellEnd"/>
    <w:r>
      <w:rPr>
        <w:lang w:val="de-DE"/>
      </w:rPr>
      <w:t xml:space="preserve"> </w:t>
    </w:r>
    <w:r w:rsidRPr="00CB7B8B">
      <w:rPr>
        <w:lang w:val="de-DE"/>
      </w:rPr>
      <w:t xml:space="preserve">: </w:t>
    </w:r>
    <w:r w:rsidR="00EB0D62">
      <w:rPr>
        <w:lang w:val="de-DE"/>
      </w:rPr>
      <w:t>15</w:t>
    </w:r>
    <w:r w:rsidR="001135B9">
      <w:rPr>
        <w:lang w:val="de-DE"/>
      </w:rPr>
      <w:t>/</w:t>
    </w:r>
    <w:r w:rsidR="00EB0D62">
      <w:rPr>
        <w:lang w:val="de-DE"/>
      </w:rPr>
      <w:t>10</w:t>
    </w:r>
    <w:r w:rsidRPr="00CB7B8B">
      <w:rPr>
        <w:lang w:val="de-DE"/>
      </w:rPr>
      <w:t>/</w:t>
    </w:r>
    <w:r w:rsidR="00905772">
      <w:rPr>
        <w:lang w:val="de-DE"/>
      </w:rPr>
      <w:t>202</w:t>
    </w:r>
    <w:r w:rsidR="001135B9">
      <w:rPr>
        <w:lang w:val="de-DE"/>
      </w:rPr>
      <w:t>6</w:t>
    </w:r>
  </w:p>
  <w:tbl>
    <w:tblPr>
      <w:tblStyle w:val="ISOPROC-2019-tabelraster-grijs"/>
      <w:tblW w:w="5200" w:type="pct"/>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12"/>
      <w:gridCol w:w="2011"/>
      <w:gridCol w:w="2010"/>
      <w:gridCol w:w="2570"/>
    </w:tblGrid>
    <w:tr w:rsidR="00D70834" w:rsidRPr="000817C5" w14:paraId="5E430036" w14:textId="77777777" w:rsidTr="003E18EF">
      <w:trPr>
        <w:trHeight w:val="70"/>
        <w:jc w:val="right"/>
      </w:trPr>
      <w:tc>
        <w:tcPr>
          <w:tcW w:w="2058" w:type="pct"/>
          <w:shd w:val="clear" w:color="auto" w:fill="F2F2F2" w:themeFill="background1" w:themeFillShade="F2"/>
        </w:tcPr>
        <w:p w14:paraId="2181F436" w14:textId="77777777" w:rsidR="00D70834" w:rsidRPr="000817C5" w:rsidRDefault="00D70834" w:rsidP="003D02C0">
          <w:pPr>
            <w:rPr>
              <w:sz w:val="2"/>
              <w:szCs w:val="2"/>
              <w:lang w:val="de-DE"/>
            </w:rPr>
          </w:pPr>
        </w:p>
      </w:tc>
      <w:tc>
        <w:tcPr>
          <w:tcW w:w="897" w:type="pct"/>
          <w:shd w:val="clear" w:color="auto" w:fill="A3BF31" w:themeFill="accent2"/>
        </w:tcPr>
        <w:p w14:paraId="11827863" w14:textId="77777777" w:rsidR="00D70834" w:rsidRPr="000817C5" w:rsidRDefault="00D70834" w:rsidP="00C441CA">
          <w:pPr>
            <w:ind w:firstLine="567"/>
            <w:rPr>
              <w:sz w:val="2"/>
              <w:szCs w:val="2"/>
              <w:lang w:val="de-DE"/>
            </w:rPr>
          </w:pPr>
        </w:p>
      </w:tc>
      <w:tc>
        <w:tcPr>
          <w:tcW w:w="897" w:type="pct"/>
          <w:shd w:val="clear" w:color="auto" w:fill="5D9AA1" w:themeFill="accent1"/>
        </w:tcPr>
        <w:p w14:paraId="55512D5A" w14:textId="77777777" w:rsidR="00D70834" w:rsidRPr="000817C5" w:rsidRDefault="00D70834" w:rsidP="003D02C0">
          <w:pPr>
            <w:rPr>
              <w:sz w:val="2"/>
              <w:szCs w:val="2"/>
              <w:lang w:val="de-DE"/>
            </w:rPr>
          </w:pPr>
        </w:p>
      </w:tc>
      <w:tc>
        <w:tcPr>
          <w:tcW w:w="1147" w:type="pct"/>
          <w:shd w:val="clear" w:color="auto" w:fill="980069" w:themeFill="accent3"/>
        </w:tcPr>
        <w:p w14:paraId="2645C929" w14:textId="77777777" w:rsidR="00D70834" w:rsidRPr="000817C5" w:rsidRDefault="00D70834" w:rsidP="003D02C0">
          <w:pPr>
            <w:rPr>
              <w:sz w:val="2"/>
              <w:szCs w:val="2"/>
              <w:lang w:val="de-DE"/>
            </w:rPr>
          </w:pPr>
          <w:r>
            <w:rPr>
              <w:noProof/>
              <w:sz w:val="2"/>
              <w:szCs w:val="2"/>
            </w:rPr>
            <mc:AlternateContent>
              <mc:Choice Requires="wps">
                <w:drawing>
                  <wp:anchor distT="0" distB="0" distL="114300" distR="114300" simplePos="0" relativeHeight="251658240" behindDoc="0" locked="0" layoutInCell="1" allowOverlap="1" wp14:anchorId="771709B3" wp14:editId="49DC00A1">
                    <wp:simplePos x="0" y="0"/>
                    <wp:positionH relativeFrom="page">
                      <wp:posOffset>2378710</wp:posOffset>
                    </wp:positionH>
                    <wp:positionV relativeFrom="paragraph">
                      <wp:posOffset>-12065</wp:posOffset>
                    </wp:positionV>
                    <wp:extent cx="359410" cy="89535"/>
                    <wp:effectExtent l="0" t="0" r="21590" b="24765"/>
                    <wp:wrapNone/>
                    <wp:docPr id="10" name="Rechthoek 10"/>
                    <wp:cNvGraphicFramePr/>
                    <a:graphic xmlns:a="http://schemas.openxmlformats.org/drawingml/2006/main">
                      <a:graphicData uri="http://schemas.microsoft.com/office/word/2010/wordprocessingShape">
                        <wps:wsp>
                          <wps:cNvSpPr/>
                          <wps:spPr>
                            <a:xfrm>
                              <a:off x="0" y="0"/>
                              <a:ext cx="359410" cy="8953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hthoek 10" style="position:absolute;margin-left:187.3pt;margin-top:-.95pt;width:28.3pt;height:7.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2f2f2 [3052]" strokecolor="#f2f2f2 [3052]" strokeweight="1pt" w14:anchorId="7B77D6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">
                    <w10:wrap anchorx="page"/>
                  </v:rect>
                </w:pict>
              </mc:Fallback>
            </mc:AlternateContent>
          </w:r>
        </w:p>
      </w:tc>
    </w:tr>
  </w:tbl>
  <w:p w14:paraId="4B6BFB0C" w14:textId="77777777" w:rsidR="00D70834" w:rsidRPr="000817C5" w:rsidRDefault="00D70834" w:rsidP="0042357A">
    <w:pP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A7AB2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AC63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6F1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70003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00E1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C89E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CCBC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C054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D4FA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646A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E5C67"/>
    <w:multiLevelType w:val="hybridMultilevel"/>
    <w:tmpl w:val="DA824838"/>
    <w:lvl w:ilvl="0" w:tplc="219CB7BC">
      <w:start w:val="1"/>
      <w:numFmt w:val="bullet"/>
      <w:pStyle w:val="Kop4"/>
      <w:lvlText w:val=""/>
      <w:lvlJc w:val="left"/>
      <w:pPr>
        <w:ind w:left="720" w:hanging="360"/>
      </w:pPr>
      <w:rPr>
        <w:rFonts w:ascii="Wingdings" w:hAnsi="Wingdings" w:hint="default"/>
        <w:b w:val="0"/>
        <w:i w:val="0"/>
        <w:color w:val="5D9AA1" w:themeColor="text2"/>
        <w:kern w:val="24"/>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0290094E"/>
    <w:multiLevelType w:val="multilevel"/>
    <w:tmpl w:val="D8E2F2A0"/>
    <w:numStyleLink w:val="ISOPROC-2019-opsomming-ongenummerd"/>
  </w:abstractNum>
  <w:abstractNum w:abstractNumId="12" w15:restartNumberingAfterBreak="0">
    <w:nsid w:val="08205F4F"/>
    <w:multiLevelType w:val="multilevel"/>
    <w:tmpl w:val="F54891F0"/>
    <w:styleLink w:val="NIETGEBRUIKEN-OUDEOPSOMMING"/>
    <w:lvl w:ilvl="0">
      <w:start w:val="1"/>
      <w:numFmt w:val="bullet"/>
      <w:lvlText w:val=""/>
      <w:lvlJc w:val="left"/>
      <w:pPr>
        <w:ind w:left="567" w:hanging="567"/>
      </w:pPr>
      <w:rPr>
        <w:rFonts w:ascii="Wingdings" w:hAnsi="Wingdings" w:hint="default"/>
        <w:color w:val="auto"/>
        <w:sz w:val="24"/>
      </w:rPr>
    </w:lvl>
    <w:lvl w:ilvl="1">
      <w:start w:val="1"/>
      <w:numFmt w:val="bullet"/>
      <w:lvlText w:val=""/>
      <w:lvlJc w:val="left"/>
      <w:pPr>
        <w:ind w:left="567" w:hanging="283"/>
      </w:pPr>
      <w:rPr>
        <w:rFonts w:ascii="Wingdings" w:hAnsi="Wingdings" w:hint="default"/>
        <w:color w:val="auto"/>
        <w:sz w:val="24"/>
      </w:rPr>
    </w:lvl>
    <w:lvl w:ilvl="2">
      <w:start w:val="1"/>
      <w:numFmt w:val="bullet"/>
      <w:lvlText w:val=""/>
      <w:lvlJc w:val="left"/>
      <w:pPr>
        <w:ind w:left="851" w:hanging="283"/>
      </w:pPr>
      <w:rPr>
        <w:rFonts w:ascii="Wingdings" w:hAnsi="Wingdings" w:hint="default"/>
        <w:color w:val="000000" w:themeColor="text1"/>
        <w:sz w:val="24"/>
      </w:rPr>
    </w:lvl>
    <w:lvl w:ilvl="3">
      <w:start w:val="1"/>
      <w:numFmt w:val="bullet"/>
      <w:lvlText w:val=""/>
      <w:lvlJc w:val="left"/>
      <w:pPr>
        <w:ind w:left="1134" w:hanging="282"/>
      </w:pPr>
      <w:rPr>
        <w:rFonts w:ascii="Wingdings" w:hAnsi="Wingdings" w:hint="default"/>
        <w:color w:val="000000" w:themeColor="text1"/>
        <w:sz w:val="24"/>
      </w:rPr>
    </w:lvl>
    <w:lvl w:ilvl="4">
      <w:start w:val="1"/>
      <w:numFmt w:val="bullet"/>
      <w:lvlText w:val=""/>
      <w:lvlJc w:val="left"/>
      <w:pPr>
        <w:ind w:left="1418" w:hanging="282"/>
      </w:pPr>
      <w:rPr>
        <w:rFonts w:ascii="Wingdings" w:hAnsi="Wingdings" w:hint="default"/>
        <w:color w:val="000000" w:themeColor="text1"/>
        <w:sz w:val="24"/>
      </w:rPr>
    </w:lvl>
    <w:lvl w:ilvl="5">
      <w:start w:val="1"/>
      <w:numFmt w:val="bullet"/>
      <w:lvlText w:val=""/>
      <w:lvlJc w:val="left"/>
      <w:pPr>
        <w:ind w:left="1701" w:hanging="281"/>
      </w:pPr>
      <w:rPr>
        <w:rFonts w:ascii="Wingdings" w:hAnsi="Wingdings" w:hint="default"/>
        <w:color w:val="000000" w:themeColor="text1"/>
        <w:sz w:val="24"/>
      </w:rPr>
    </w:lvl>
    <w:lvl w:ilvl="6">
      <w:start w:val="1"/>
      <w:numFmt w:val="bullet"/>
      <w:lvlText w:val=""/>
      <w:lvlJc w:val="left"/>
      <w:pPr>
        <w:ind w:left="1985" w:hanging="281"/>
      </w:pPr>
      <w:rPr>
        <w:rFonts w:ascii="Wingdings" w:hAnsi="Wingdings" w:hint="default"/>
        <w:color w:val="000000" w:themeColor="text1"/>
        <w:sz w:val="24"/>
      </w:rPr>
    </w:lvl>
    <w:lvl w:ilvl="7">
      <w:start w:val="1"/>
      <w:numFmt w:val="bullet"/>
      <w:lvlText w:val=""/>
      <w:lvlJc w:val="left"/>
      <w:pPr>
        <w:ind w:left="2268" w:hanging="280"/>
      </w:pPr>
      <w:rPr>
        <w:rFonts w:ascii="Wingdings" w:hAnsi="Wingdings" w:hint="default"/>
        <w:color w:val="000000" w:themeColor="text1"/>
        <w:sz w:val="24"/>
      </w:rPr>
    </w:lvl>
    <w:lvl w:ilvl="8">
      <w:start w:val="1"/>
      <w:numFmt w:val="bullet"/>
      <w:lvlText w:val=""/>
      <w:lvlJc w:val="left"/>
      <w:pPr>
        <w:ind w:left="2552" w:hanging="280"/>
      </w:pPr>
      <w:rPr>
        <w:rFonts w:ascii="Wingdings" w:hAnsi="Wingdings" w:hint="default"/>
        <w:color w:val="000000" w:themeColor="text1"/>
        <w:sz w:val="24"/>
      </w:rPr>
    </w:lvl>
  </w:abstractNum>
  <w:abstractNum w:abstractNumId="13" w15:restartNumberingAfterBreak="0">
    <w:nsid w:val="099377B1"/>
    <w:multiLevelType w:val="multilevel"/>
    <w:tmpl w:val="F54891F0"/>
    <w:name w:val="ISOPROC"/>
    <w:numStyleLink w:val="NIETGEBRUIKEN-OUDEOPSOMMING"/>
  </w:abstractNum>
  <w:abstractNum w:abstractNumId="14" w15:restartNumberingAfterBreak="0">
    <w:nsid w:val="09982E7C"/>
    <w:multiLevelType w:val="multilevel"/>
    <w:tmpl w:val="D8E2F2A0"/>
    <w:numStyleLink w:val="ISOPROC-2019-opsomming-ongenummerd"/>
  </w:abstractNum>
  <w:abstractNum w:abstractNumId="15" w15:restartNumberingAfterBreak="0">
    <w:nsid w:val="11A463F3"/>
    <w:multiLevelType w:val="multilevel"/>
    <w:tmpl w:val="D8E2F2A0"/>
    <w:numStyleLink w:val="ISOPROC-2019-opsomming-ongenummerd"/>
  </w:abstractNum>
  <w:abstractNum w:abstractNumId="16" w15:restartNumberingAfterBreak="0">
    <w:nsid w:val="121017D3"/>
    <w:multiLevelType w:val="multilevel"/>
    <w:tmpl w:val="09021382"/>
    <w:name w:val="ISOPROC2"/>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17" w15:restartNumberingAfterBreak="0">
    <w:nsid w:val="15E5206D"/>
    <w:multiLevelType w:val="multilevel"/>
    <w:tmpl w:val="09021382"/>
    <w:name w:val="ISOPROC"/>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18" w15:restartNumberingAfterBreak="0">
    <w:nsid w:val="17DC794E"/>
    <w:multiLevelType w:val="multilevel"/>
    <w:tmpl w:val="D8E2F2A0"/>
    <w:numStyleLink w:val="ISOPROC-2019-opsomming-ongenummerd"/>
  </w:abstractNum>
  <w:abstractNum w:abstractNumId="19" w15:restartNumberingAfterBreak="0">
    <w:nsid w:val="18547DA9"/>
    <w:multiLevelType w:val="multilevel"/>
    <w:tmpl w:val="D8E2F2A0"/>
    <w:numStyleLink w:val="ISOPROC-2019-opsomming-ongenummerd"/>
  </w:abstractNum>
  <w:abstractNum w:abstractNumId="20" w15:restartNumberingAfterBreak="0">
    <w:nsid w:val="19993AAF"/>
    <w:multiLevelType w:val="multilevel"/>
    <w:tmpl w:val="D8E2F2A0"/>
    <w:numStyleLink w:val="ISOPROC-2019-opsomming-ongenummerd"/>
  </w:abstractNum>
  <w:abstractNum w:abstractNumId="21" w15:restartNumberingAfterBreak="0">
    <w:nsid w:val="19EC21A3"/>
    <w:multiLevelType w:val="multilevel"/>
    <w:tmpl w:val="F54891F0"/>
    <w:name w:val="ISOPROC OPSOMMING2"/>
    <w:numStyleLink w:val="NIETGEBRUIKEN-OUDEOPSOMMING"/>
  </w:abstractNum>
  <w:abstractNum w:abstractNumId="22" w15:restartNumberingAfterBreak="0">
    <w:nsid w:val="1BB40E26"/>
    <w:multiLevelType w:val="multilevel"/>
    <w:tmpl w:val="D8E2F2A0"/>
    <w:numStyleLink w:val="ISOPROC-2019-opsomming-ongenummerd"/>
  </w:abstractNum>
  <w:abstractNum w:abstractNumId="23" w15:restartNumberingAfterBreak="0">
    <w:nsid w:val="1C255EF8"/>
    <w:multiLevelType w:val="multilevel"/>
    <w:tmpl w:val="F54891F0"/>
    <w:name w:val="ISOPROC NUMMERING52"/>
    <w:numStyleLink w:val="NIETGEBRUIKEN-OUDEOPSOMMING"/>
  </w:abstractNum>
  <w:abstractNum w:abstractNumId="24" w15:restartNumberingAfterBreak="0">
    <w:nsid w:val="1E9E4149"/>
    <w:multiLevelType w:val="multilevel"/>
    <w:tmpl w:val="A712CC74"/>
    <w:styleLink w:val="ISOPROC-2019-opsomming-genummerd-2"/>
    <w:lvl w:ilvl="0">
      <w:start w:val="1"/>
      <w:numFmt w:val="decimal"/>
      <w:lvlText w:val="%1."/>
      <w:lvlJc w:val="left"/>
      <w:pPr>
        <w:tabs>
          <w:tab w:val="num" w:pos="794"/>
        </w:tabs>
        <w:ind w:left="794" w:hanging="437"/>
      </w:pPr>
      <w:rPr>
        <w:rFonts w:asciiTheme="minorHAnsi" w:hAnsiTheme="minorHAnsi" w:hint="default"/>
        <w:color w:val="5D9AA1" w:themeColor="text2"/>
        <w:sz w:val="20"/>
      </w:rPr>
    </w:lvl>
    <w:lvl w:ilvl="1">
      <w:start w:val="1"/>
      <w:numFmt w:val="decimal"/>
      <w:lvlText w:val="%1.%2"/>
      <w:lvlJc w:val="left"/>
      <w:pPr>
        <w:tabs>
          <w:tab w:val="num" w:pos="1304"/>
        </w:tabs>
        <w:ind w:left="1304" w:hanging="510"/>
      </w:pPr>
      <w:rPr>
        <w:rFonts w:asciiTheme="minorHAnsi" w:hAnsiTheme="minorHAnsi" w:hint="default"/>
        <w:color w:val="5D9AA1" w:themeColor="text2"/>
        <w:sz w:val="20"/>
      </w:rPr>
    </w:lvl>
    <w:lvl w:ilvl="2">
      <w:start w:val="1"/>
      <w:numFmt w:val="upperLetter"/>
      <w:lvlText w:val="%3."/>
      <w:lvlJc w:val="right"/>
      <w:pPr>
        <w:tabs>
          <w:tab w:val="num" w:pos="1905"/>
        </w:tabs>
        <w:ind w:left="1928" w:hanging="340"/>
      </w:pPr>
      <w:rPr>
        <w:rFonts w:asciiTheme="minorHAnsi" w:hAnsiTheme="minorHAnsi" w:hint="default"/>
        <w:color w:val="5D9AA1" w:themeColor="text2"/>
        <w:sz w:val="20"/>
      </w:rPr>
    </w:lvl>
    <w:lvl w:ilvl="3">
      <w:start w:val="1"/>
      <w:numFmt w:val="lowerLetter"/>
      <w:lvlText w:val="%4."/>
      <w:lvlJc w:val="left"/>
      <w:pPr>
        <w:tabs>
          <w:tab w:val="num" w:pos="2381"/>
        </w:tabs>
        <w:ind w:left="2381" w:hanging="453"/>
      </w:pPr>
      <w:rPr>
        <w:rFonts w:asciiTheme="minorHAnsi" w:hAnsiTheme="minorHAnsi" w:hint="default"/>
        <w:color w:val="5D9AA1" w:themeColor="text2"/>
        <w:sz w:val="20"/>
      </w:rPr>
    </w:lvl>
    <w:lvl w:ilvl="4">
      <w:start w:val="1"/>
      <w:numFmt w:val="lowerRoman"/>
      <w:lvlText w:val="%5."/>
      <w:lvlJc w:val="left"/>
      <w:pPr>
        <w:tabs>
          <w:tab w:val="num" w:pos="2778"/>
        </w:tabs>
        <w:ind w:left="2778" w:hanging="397"/>
      </w:pPr>
      <w:rPr>
        <w:rFonts w:asciiTheme="minorHAnsi" w:hAnsiTheme="minorHAnsi" w:hint="default"/>
        <w:color w:val="5D9AA1" w:themeColor="text2"/>
        <w:sz w:val="20"/>
      </w:rPr>
    </w:lvl>
    <w:lvl w:ilvl="5">
      <w:start w:val="1"/>
      <w:numFmt w:val="decimal"/>
      <w:lvlText w:val="%6."/>
      <w:lvlJc w:val="right"/>
      <w:pPr>
        <w:tabs>
          <w:tab w:val="num" w:pos="3175"/>
        </w:tabs>
        <w:ind w:left="3175" w:hanging="170"/>
      </w:pPr>
      <w:rPr>
        <w:rFonts w:asciiTheme="minorHAnsi" w:hAnsiTheme="minorHAnsi" w:hint="default"/>
        <w:sz w:val="20"/>
      </w:rPr>
    </w:lvl>
    <w:lvl w:ilvl="6">
      <w:start w:val="1"/>
      <w:numFmt w:val="upperLetter"/>
      <w:lvlText w:val="%7."/>
      <w:lvlJc w:val="left"/>
      <w:pPr>
        <w:tabs>
          <w:tab w:val="num" w:pos="3799"/>
        </w:tabs>
        <w:ind w:left="3799" w:hanging="624"/>
      </w:pPr>
      <w:rPr>
        <w:rFonts w:asciiTheme="minorHAnsi" w:hAnsiTheme="minorHAnsi" w:hint="default"/>
        <w:sz w:val="20"/>
      </w:rPr>
    </w:lvl>
    <w:lvl w:ilvl="7">
      <w:start w:val="1"/>
      <w:numFmt w:val="lowerLetter"/>
      <w:lvlText w:val="%8."/>
      <w:lvlJc w:val="left"/>
      <w:pPr>
        <w:tabs>
          <w:tab w:val="num" w:pos="4196"/>
        </w:tabs>
        <w:ind w:left="4196" w:hanging="397"/>
      </w:pPr>
      <w:rPr>
        <w:rFonts w:asciiTheme="minorHAnsi" w:hAnsiTheme="minorHAnsi" w:hint="default"/>
        <w:sz w:val="20"/>
      </w:rPr>
    </w:lvl>
    <w:lvl w:ilvl="8">
      <w:start w:val="1"/>
      <w:numFmt w:val="lowerRoman"/>
      <w:lvlText w:val="%9."/>
      <w:lvlJc w:val="right"/>
      <w:pPr>
        <w:tabs>
          <w:tab w:val="num" w:pos="4706"/>
        </w:tabs>
        <w:ind w:left="4706" w:hanging="283"/>
      </w:pPr>
      <w:rPr>
        <w:rFonts w:asciiTheme="minorHAnsi" w:hAnsiTheme="minorHAnsi" w:hint="default"/>
        <w:sz w:val="20"/>
      </w:rPr>
    </w:lvl>
  </w:abstractNum>
  <w:abstractNum w:abstractNumId="25" w15:restartNumberingAfterBreak="0">
    <w:nsid w:val="21347357"/>
    <w:multiLevelType w:val="multilevel"/>
    <w:tmpl w:val="F54891F0"/>
    <w:name w:val="ISOPROC OPSOMMING2"/>
    <w:numStyleLink w:val="NIETGEBRUIKEN-OUDEOPSOMMING"/>
  </w:abstractNum>
  <w:abstractNum w:abstractNumId="26" w15:restartNumberingAfterBreak="0">
    <w:nsid w:val="21B55B9C"/>
    <w:multiLevelType w:val="multilevel"/>
    <w:tmpl w:val="D8E2F2A0"/>
    <w:numStyleLink w:val="ISOPROC-2019-opsomming-ongenummerd"/>
  </w:abstractNum>
  <w:abstractNum w:abstractNumId="27" w15:restartNumberingAfterBreak="0">
    <w:nsid w:val="229727A1"/>
    <w:multiLevelType w:val="multilevel"/>
    <w:tmpl w:val="D8E2F2A0"/>
    <w:numStyleLink w:val="ISOPROC-2019-opsomming-ongenummerd"/>
  </w:abstractNum>
  <w:abstractNum w:abstractNumId="28" w15:restartNumberingAfterBreak="0">
    <w:nsid w:val="239A7688"/>
    <w:multiLevelType w:val="hybridMultilevel"/>
    <w:tmpl w:val="9B9296B0"/>
    <w:lvl w:ilvl="0" w:tplc="57E6957A">
      <w:start w:val="1"/>
      <w:numFmt w:val="bullet"/>
      <w:pStyle w:val="Kop3"/>
      <w:lvlText w:val=""/>
      <w:lvlJc w:val="left"/>
      <w:pPr>
        <w:ind w:left="720" w:hanging="360"/>
      </w:pPr>
      <w:rPr>
        <w:rFonts w:ascii="Wingdings" w:hAnsi="Wingdings" w:hint="default"/>
        <w:b w:val="0"/>
        <w:i w:val="0"/>
        <w:color w:val="5D9AA1" w:themeColor="text2"/>
        <w:kern w:val="24"/>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23D56D59"/>
    <w:multiLevelType w:val="multilevel"/>
    <w:tmpl w:val="D8E2F2A0"/>
    <w:numStyleLink w:val="ISOPROC-2019-opsomming-ongenummerd"/>
  </w:abstractNum>
  <w:abstractNum w:abstractNumId="30" w15:restartNumberingAfterBreak="0">
    <w:nsid w:val="2CA02B6A"/>
    <w:multiLevelType w:val="multilevel"/>
    <w:tmpl w:val="09021382"/>
    <w:name w:val="ISOPROC NUMMERING6"/>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31" w15:restartNumberingAfterBreak="0">
    <w:nsid w:val="2FE7733D"/>
    <w:multiLevelType w:val="multilevel"/>
    <w:tmpl w:val="D8642142"/>
    <w:styleLink w:val="NIETGEBRUIKEN-OUDENUMMERING"/>
    <w:lvl w:ilvl="0">
      <w:start w:val="1"/>
      <w:numFmt w:val="decimal"/>
      <w:lvlText w:val="%1"/>
      <w:lvlJc w:val="left"/>
      <w:pPr>
        <w:tabs>
          <w:tab w:val="num" w:pos="567"/>
        </w:tabs>
        <w:ind w:left="567" w:hanging="567"/>
      </w:pPr>
      <w:rPr>
        <w:rFonts w:hint="default"/>
        <w:color w:val="auto"/>
        <w:sz w:val="22"/>
      </w:rPr>
    </w:lvl>
    <w:lvl w:ilvl="1">
      <w:start w:val="1"/>
      <w:numFmt w:val="decimal"/>
      <w:lvlText w:val="%1.%2"/>
      <w:lvlJc w:val="left"/>
      <w:pPr>
        <w:tabs>
          <w:tab w:val="num" w:pos="567"/>
        </w:tabs>
        <w:ind w:left="567" w:hanging="567"/>
      </w:pPr>
      <w:rPr>
        <w:rFonts w:hint="default"/>
        <w:color w:val="auto"/>
      </w:rPr>
    </w:lvl>
    <w:lvl w:ilvl="2">
      <w:start w:val="1"/>
      <w:numFmt w:val="decimal"/>
      <w:lvlText w:val="%1.%2.%3"/>
      <w:lvlJc w:val="left"/>
      <w:pPr>
        <w:tabs>
          <w:tab w:val="num" w:pos="567"/>
        </w:tabs>
        <w:ind w:left="567" w:hanging="567"/>
      </w:pPr>
      <w:rPr>
        <w:rFonts w:hint="default"/>
        <w:color w:val="auto"/>
      </w:rPr>
    </w:lvl>
    <w:lvl w:ilvl="3">
      <w:start w:val="1"/>
      <w:numFmt w:val="decimal"/>
      <w:lvlText w:val="%1.%2.%3.%4"/>
      <w:lvlJc w:val="left"/>
      <w:pPr>
        <w:tabs>
          <w:tab w:val="num" w:pos="567"/>
        </w:tabs>
        <w:ind w:left="567" w:hanging="567"/>
      </w:pPr>
      <w:rPr>
        <w:rFonts w:hint="default"/>
        <w:color w:val="auto"/>
      </w:rPr>
    </w:lvl>
    <w:lvl w:ilvl="4">
      <w:start w:val="1"/>
      <w:numFmt w:val="decimal"/>
      <w:lvlText w:val="%1.%2.%3.%4.%5"/>
      <w:lvlJc w:val="left"/>
      <w:pPr>
        <w:tabs>
          <w:tab w:val="num" w:pos="567"/>
        </w:tabs>
        <w:ind w:left="567" w:hanging="567"/>
      </w:pPr>
      <w:rPr>
        <w:rFonts w:hint="default"/>
        <w:color w:val="auto"/>
      </w:rPr>
    </w:lvl>
    <w:lvl w:ilvl="5">
      <w:start w:val="1"/>
      <w:numFmt w:val="decimal"/>
      <w:lvlText w:val="%1.%2.%3.%4.%5.%6"/>
      <w:lvlJc w:val="left"/>
      <w:pPr>
        <w:tabs>
          <w:tab w:val="num" w:pos="567"/>
        </w:tabs>
        <w:ind w:left="567" w:hanging="567"/>
      </w:pPr>
      <w:rPr>
        <w:rFonts w:hint="default"/>
        <w:color w:val="auto"/>
      </w:rPr>
    </w:lvl>
    <w:lvl w:ilvl="6">
      <w:start w:val="1"/>
      <w:numFmt w:val="none"/>
      <w:lvlText w:val=""/>
      <w:lvlJc w:val="left"/>
      <w:pPr>
        <w:tabs>
          <w:tab w:val="num" w:pos="567"/>
        </w:tabs>
        <w:ind w:left="454" w:hanging="454"/>
      </w:pPr>
      <w:rPr>
        <w:rFonts w:hint="default"/>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32" w15:restartNumberingAfterBreak="0">
    <w:nsid w:val="32DC61C1"/>
    <w:multiLevelType w:val="multilevel"/>
    <w:tmpl w:val="D8E2F2A0"/>
    <w:numStyleLink w:val="ISOPROC-2019-opsomming-ongenummerd"/>
  </w:abstractNum>
  <w:abstractNum w:abstractNumId="33" w15:restartNumberingAfterBreak="0">
    <w:nsid w:val="33753DD5"/>
    <w:multiLevelType w:val="multilevel"/>
    <w:tmpl w:val="D8E2F2A0"/>
    <w:numStyleLink w:val="ISOPROC-2019-opsomming-ongenummerd"/>
  </w:abstractNum>
  <w:abstractNum w:abstractNumId="34" w15:restartNumberingAfterBreak="0">
    <w:nsid w:val="357C1B66"/>
    <w:multiLevelType w:val="multilevel"/>
    <w:tmpl w:val="D8E2F2A0"/>
    <w:numStyleLink w:val="ISOPROC-2019-opsomming-ongenummerd"/>
  </w:abstractNum>
  <w:abstractNum w:abstractNumId="35" w15:restartNumberingAfterBreak="0">
    <w:nsid w:val="364C3B33"/>
    <w:multiLevelType w:val="multilevel"/>
    <w:tmpl w:val="D35ADEBE"/>
    <w:name w:val="ISOPROC NUMMERING"/>
    <w:lvl w:ilvl="0">
      <w:start w:val="1"/>
      <w:numFmt w:val="decimal"/>
      <w:lvlText w:val="%1."/>
      <w:lvlJc w:val="left"/>
      <w:pPr>
        <w:ind w:left="726" w:hanging="726"/>
      </w:pPr>
      <w:rPr>
        <w:rFonts w:hint="default"/>
        <w:color w:val="000000" w:themeColor="text1"/>
        <w:sz w:val="22"/>
        <w:szCs w:val="22"/>
      </w:rPr>
    </w:lvl>
    <w:lvl w:ilvl="1">
      <w:start w:val="1"/>
      <w:numFmt w:val="decimal"/>
      <w:lvlText w:val="%1.%2."/>
      <w:lvlJc w:val="left"/>
      <w:pPr>
        <w:ind w:left="726" w:hanging="726"/>
      </w:pPr>
      <w:rPr>
        <w:rFonts w:hint="default"/>
        <w:color w:val="000000" w:themeColor="text1"/>
      </w:rPr>
    </w:lvl>
    <w:lvl w:ilvl="2">
      <w:start w:val="1"/>
      <w:numFmt w:val="decimal"/>
      <w:lvlText w:val="%1.%2.%3."/>
      <w:lvlJc w:val="left"/>
      <w:pPr>
        <w:ind w:left="726" w:hanging="726"/>
      </w:pPr>
      <w:rPr>
        <w:rFonts w:hint="default"/>
        <w:color w:val="000000" w:themeColor="text1"/>
      </w:rPr>
    </w:lvl>
    <w:lvl w:ilvl="3">
      <w:start w:val="1"/>
      <w:numFmt w:val="decimal"/>
      <w:lvlText w:val="%1.%2.%3.%4"/>
      <w:lvlJc w:val="left"/>
      <w:pPr>
        <w:ind w:left="726" w:hanging="726"/>
      </w:pPr>
      <w:rPr>
        <w:rFonts w:hint="default"/>
        <w:b w:val="0"/>
        <w:i w:val="0"/>
        <w:color w:val="000000" w:themeColor="text1"/>
        <w:sz w:val="22"/>
        <w:szCs w:val="22"/>
      </w:rPr>
    </w:lvl>
    <w:lvl w:ilvl="4">
      <w:start w:val="1"/>
      <w:numFmt w:val="decimal"/>
      <w:lvlText w:val="%1.%2.%3.%4.%5."/>
      <w:lvlJc w:val="left"/>
      <w:pPr>
        <w:ind w:left="726" w:hanging="726"/>
      </w:pPr>
      <w:rPr>
        <w:rFonts w:hint="default"/>
        <w:color w:val="000000" w:themeColor="text1"/>
      </w:rPr>
    </w:lvl>
    <w:lvl w:ilvl="5">
      <w:start w:val="1"/>
      <w:numFmt w:val="decimal"/>
      <w:lvlText w:val="%1.%2.%3.%4.%5.%6."/>
      <w:lvlJc w:val="left"/>
      <w:pPr>
        <w:ind w:left="726" w:hanging="726"/>
      </w:pPr>
      <w:rPr>
        <w:rFonts w:hint="default"/>
        <w:color w:val="000000" w:themeColor="text1"/>
      </w:rPr>
    </w:lvl>
    <w:lvl w:ilvl="6">
      <w:start w:val="1"/>
      <w:numFmt w:val="decimal"/>
      <w:lvlText w:val="%1.%2.%3.%4.%5.%6.%7."/>
      <w:lvlJc w:val="left"/>
      <w:pPr>
        <w:ind w:left="726" w:hanging="726"/>
      </w:pPr>
      <w:rPr>
        <w:rFonts w:hint="default"/>
        <w:color w:val="000000" w:themeColor="text1"/>
      </w:rPr>
    </w:lvl>
    <w:lvl w:ilvl="7">
      <w:start w:val="1"/>
      <w:numFmt w:val="decimal"/>
      <w:lvlText w:val="%1.%2.%3.%4.%5.%6.%7.%8."/>
      <w:lvlJc w:val="left"/>
      <w:pPr>
        <w:ind w:left="726" w:hanging="726"/>
      </w:pPr>
      <w:rPr>
        <w:rFonts w:hint="default"/>
        <w:color w:val="000000" w:themeColor="text1"/>
      </w:rPr>
    </w:lvl>
    <w:lvl w:ilvl="8">
      <w:start w:val="1"/>
      <w:numFmt w:val="decimal"/>
      <w:lvlText w:val="%1.%2.%3.%4.%5.%6.%7.%8.%9."/>
      <w:lvlJc w:val="left"/>
      <w:pPr>
        <w:ind w:left="726" w:hanging="726"/>
      </w:pPr>
      <w:rPr>
        <w:rFonts w:hint="default"/>
        <w:color w:val="000000" w:themeColor="text1"/>
      </w:rPr>
    </w:lvl>
  </w:abstractNum>
  <w:abstractNum w:abstractNumId="36" w15:restartNumberingAfterBreak="0">
    <w:nsid w:val="3E074EE8"/>
    <w:multiLevelType w:val="hybridMultilevel"/>
    <w:tmpl w:val="6F1C14F0"/>
    <w:lvl w:ilvl="0" w:tplc="7E40DC12">
      <w:start w:val="1"/>
      <w:numFmt w:val="bullet"/>
      <w:pStyle w:val="Kop1"/>
      <w:lvlText w:val=""/>
      <w:lvlJc w:val="left"/>
      <w:pPr>
        <w:ind w:left="720" w:hanging="360"/>
      </w:pPr>
      <w:rPr>
        <w:rFonts w:ascii="Wingdings" w:hAnsi="Wingdings" w:hint="default"/>
        <w:b w:val="0"/>
        <w:i w:val="0"/>
        <w:color w:val="5D9AA1" w:themeColor="text2"/>
        <w:kern w:val="24"/>
        <w:sz w:val="2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3E423536"/>
    <w:multiLevelType w:val="multilevel"/>
    <w:tmpl w:val="D8E2F2A0"/>
    <w:numStyleLink w:val="ISOPROC-2019-opsomming-ongenummerd"/>
  </w:abstractNum>
  <w:abstractNum w:abstractNumId="38" w15:restartNumberingAfterBreak="0">
    <w:nsid w:val="3FE90B3B"/>
    <w:multiLevelType w:val="multilevel"/>
    <w:tmpl w:val="D8E2F2A0"/>
    <w:numStyleLink w:val="ISOPROC-2019-opsomming-ongenummerd"/>
  </w:abstractNum>
  <w:abstractNum w:abstractNumId="39" w15:restartNumberingAfterBreak="0">
    <w:nsid w:val="443278A1"/>
    <w:multiLevelType w:val="multilevel"/>
    <w:tmpl w:val="09021382"/>
    <w:name w:val="ISOPROC3222"/>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40" w15:restartNumberingAfterBreak="0">
    <w:nsid w:val="454B1068"/>
    <w:multiLevelType w:val="multilevel"/>
    <w:tmpl w:val="09021382"/>
    <w:name w:val="ISOPROC322"/>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41" w15:restartNumberingAfterBreak="0">
    <w:nsid w:val="45755484"/>
    <w:multiLevelType w:val="multilevel"/>
    <w:tmpl w:val="D8E2F2A0"/>
    <w:numStyleLink w:val="ISOPROC-2019-opsomming-ongenummerd"/>
  </w:abstractNum>
  <w:abstractNum w:abstractNumId="42" w15:restartNumberingAfterBreak="0">
    <w:nsid w:val="467D709B"/>
    <w:multiLevelType w:val="multilevel"/>
    <w:tmpl w:val="D8E2F2A0"/>
    <w:numStyleLink w:val="ISOPROC-2019-opsomming-ongenummerd"/>
  </w:abstractNum>
  <w:abstractNum w:abstractNumId="43" w15:restartNumberingAfterBreak="0">
    <w:nsid w:val="47152983"/>
    <w:multiLevelType w:val="multilevel"/>
    <w:tmpl w:val="09021382"/>
    <w:name w:val="ISOPROC3"/>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44" w15:restartNumberingAfterBreak="0">
    <w:nsid w:val="4CA10D78"/>
    <w:multiLevelType w:val="multilevel"/>
    <w:tmpl w:val="D8E2F2A0"/>
    <w:numStyleLink w:val="ISOPROC-2019-opsomming-ongenummerd"/>
  </w:abstractNum>
  <w:abstractNum w:abstractNumId="45" w15:restartNumberingAfterBreak="0">
    <w:nsid w:val="583A6407"/>
    <w:multiLevelType w:val="multilevel"/>
    <w:tmpl w:val="D8E2F2A0"/>
    <w:numStyleLink w:val="ISOPROC-2019-opsomming-ongenummerd"/>
  </w:abstractNum>
  <w:abstractNum w:abstractNumId="46" w15:restartNumberingAfterBreak="0">
    <w:nsid w:val="59014381"/>
    <w:multiLevelType w:val="multilevel"/>
    <w:tmpl w:val="D8E2F2A0"/>
    <w:numStyleLink w:val="ISOPROC-2019-opsomming-ongenummerd"/>
  </w:abstractNum>
  <w:abstractNum w:abstractNumId="47" w15:restartNumberingAfterBreak="0">
    <w:nsid w:val="5AFF227C"/>
    <w:multiLevelType w:val="multilevel"/>
    <w:tmpl w:val="D8E2F2A0"/>
    <w:numStyleLink w:val="ISOPROC-2019-opsomming-ongenummerd"/>
  </w:abstractNum>
  <w:abstractNum w:abstractNumId="48" w15:restartNumberingAfterBreak="0">
    <w:nsid w:val="5F686038"/>
    <w:multiLevelType w:val="multilevel"/>
    <w:tmpl w:val="D8E2F2A0"/>
    <w:styleLink w:val="ISOPROC-2019-opsomming-ongenummerd"/>
    <w:lvl w:ilvl="0">
      <w:start w:val="1"/>
      <w:numFmt w:val="bullet"/>
      <w:lvlText w:val=""/>
      <w:lvlJc w:val="left"/>
      <w:pPr>
        <w:ind w:left="720" w:hanging="363"/>
      </w:pPr>
      <w:rPr>
        <w:rFonts w:ascii="Wingdings" w:hAnsi="Wingdings" w:hint="default"/>
        <w:color w:val="5D9AA1" w:themeColor="text2"/>
        <w:sz w:val="20"/>
      </w:rPr>
    </w:lvl>
    <w:lvl w:ilvl="1">
      <w:start w:val="1"/>
      <w:numFmt w:val="bullet"/>
      <w:lvlText w:val="o"/>
      <w:lvlJc w:val="left"/>
      <w:pPr>
        <w:ind w:left="1077" w:hanging="363"/>
      </w:pPr>
      <w:rPr>
        <w:rFonts w:ascii="Wingdings" w:hAnsi="Wingdings" w:hint="default"/>
        <w:color w:val="5D9AA1" w:themeColor="text2"/>
        <w:sz w:val="18"/>
      </w:rPr>
    </w:lvl>
    <w:lvl w:ilvl="2">
      <w:start w:val="1"/>
      <w:numFmt w:val="bullet"/>
      <w:lvlText w:val=""/>
      <w:lvlJc w:val="left"/>
      <w:pPr>
        <w:ind w:left="1434" w:hanging="363"/>
      </w:pPr>
      <w:rPr>
        <w:rFonts w:ascii="Wingdings" w:hAnsi="Wingdings" w:hint="default"/>
        <w:color w:val="5D9AA1" w:themeColor="text2"/>
        <w:sz w:val="20"/>
      </w:rPr>
    </w:lvl>
    <w:lvl w:ilvl="3">
      <w:start w:val="1"/>
      <w:numFmt w:val="bullet"/>
      <w:lvlText w:val="o"/>
      <w:lvlJc w:val="left"/>
      <w:pPr>
        <w:ind w:left="1791" w:hanging="363"/>
      </w:pPr>
      <w:rPr>
        <w:rFonts w:ascii="Wingdings" w:hAnsi="Wingdings" w:hint="default"/>
        <w:color w:val="5D9AA1" w:themeColor="text2"/>
        <w:sz w:val="18"/>
      </w:rPr>
    </w:lvl>
    <w:lvl w:ilvl="4">
      <w:start w:val="1"/>
      <w:numFmt w:val="bullet"/>
      <w:lvlText w:val=""/>
      <w:lvlJc w:val="left"/>
      <w:pPr>
        <w:ind w:left="2148" w:hanging="363"/>
      </w:pPr>
      <w:rPr>
        <w:rFonts w:ascii="Wingdings" w:hAnsi="Wingdings" w:hint="default"/>
        <w:color w:val="5D9AA1" w:themeColor="text2"/>
        <w:sz w:val="20"/>
      </w:rPr>
    </w:lvl>
    <w:lvl w:ilvl="5">
      <w:start w:val="1"/>
      <w:numFmt w:val="bullet"/>
      <w:lvlText w:val="o"/>
      <w:lvlJc w:val="left"/>
      <w:pPr>
        <w:ind w:left="2505" w:hanging="363"/>
      </w:pPr>
      <w:rPr>
        <w:rFonts w:ascii="Wingdings" w:hAnsi="Wingdings" w:hint="default"/>
        <w:color w:val="5D9AA1" w:themeColor="text2"/>
        <w:sz w:val="18"/>
      </w:rPr>
    </w:lvl>
    <w:lvl w:ilvl="6">
      <w:start w:val="1"/>
      <w:numFmt w:val="bullet"/>
      <w:lvlText w:val=""/>
      <w:lvlJc w:val="left"/>
      <w:pPr>
        <w:ind w:left="2862" w:hanging="363"/>
      </w:pPr>
      <w:rPr>
        <w:rFonts w:ascii="Wingdings" w:hAnsi="Wingdings" w:hint="default"/>
        <w:color w:val="5D9AA1" w:themeColor="text2"/>
        <w:sz w:val="20"/>
      </w:rPr>
    </w:lvl>
    <w:lvl w:ilvl="7">
      <w:start w:val="1"/>
      <w:numFmt w:val="bullet"/>
      <w:lvlText w:val="o"/>
      <w:lvlJc w:val="left"/>
      <w:pPr>
        <w:ind w:left="3219" w:hanging="363"/>
      </w:pPr>
      <w:rPr>
        <w:rFonts w:ascii="Wingdings" w:hAnsi="Wingdings" w:hint="default"/>
        <w:color w:val="5D9AA1" w:themeColor="text2"/>
        <w:sz w:val="18"/>
      </w:rPr>
    </w:lvl>
    <w:lvl w:ilvl="8">
      <w:start w:val="1"/>
      <w:numFmt w:val="bullet"/>
      <w:lvlText w:val=""/>
      <w:lvlJc w:val="left"/>
      <w:pPr>
        <w:ind w:left="3576" w:hanging="363"/>
      </w:pPr>
      <w:rPr>
        <w:rFonts w:ascii="Wingdings" w:hAnsi="Wingdings" w:hint="default"/>
        <w:color w:val="5D9AA1" w:themeColor="text2"/>
        <w:sz w:val="20"/>
      </w:rPr>
    </w:lvl>
  </w:abstractNum>
  <w:abstractNum w:abstractNumId="49" w15:restartNumberingAfterBreak="0">
    <w:nsid w:val="63C96ACB"/>
    <w:multiLevelType w:val="multilevel"/>
    <w:tmpl w:val="09021382"/>
    <w:name w:val="ISOPROC32"/>
    <w:lvl w:ilvl="0">
      <w:start w:val="1"/>
      <w:numFmt w:val="decimal"/>
      <w:lvlText w:val="%1"/>
      <w:lvlJc w:val="left"/>
      <w:pPr>
        <w:tabs>
          <w:tab w:val="num" w:pos="567"/>
        </w:tabs>
        <w:ind w:left="567" w:hanging="283"/>
      </w:pPr>
      <w:rPr>
        <w:rFonts w:hint="default"/>
        <w:color w:val="000000" w:themeColor="text1"/>
      </w:rPr>
    </w:lvl>
    <w:lvl w:ilvl="1">
      <w:start w:val="1"/>
      <w:numFmt w:val="decimal"/>
      <w:suff w:val="space"/>
      <w:lvlText w:val="%1.%2"/>
      <w:lvlJc w:val="left"/>
      <w:pPr>
        <w:ind w:left="851" w:hanging="283"/>
      </w:pPr>
      <w:rPr>
        <w:rFonts w:hint="default"/>
        <w:color w:val="000000" w:themeColor="text1"/>
      </w:rPr>
    </w:lvl>
    <w:lvl w:ilvl="2">
      <w:start w:val="1"/>
      <w:numFmt w:val="decimal"/>
      <w:suff w:val="space"/>
      <w:lvlText w:val="%1.%2.%3"/>
      <w:lvlJc w:val="left"/>
      <w:pPr>
        <w:ind w:left="1135" w:hanging="283"/>
      </w:pPr>
      <w:rPr>
        <w:rFonts w:hint="default"/>
        <w:color w:val="000000" w:themeColor="text1"/>
      </w:rPr>
    </w:lvl>
    <w:lvl w:ilvl="3">
      <w:start w:val="1"/>
      <w:numFmt w:val="decimal"/>
      <w:suff w:val="space"/>
      <w:lvlText w:val="%1.%2.%3.%4"/>
      <w:lvlJc w:val="left"/>
      <w:pPr>
        <w:ind w:left="1419" w:hanging="283"/>
      </w:pPr>
      <w:rPr>
        <w:rFonts w:hint="default"/>
        <w:color w:val="000000" w:themeColor="text1"/>
      </w:rPr>
    </w:lvl>
    <w:lvl w:ilvl="4">
      <w:start w:val="1"/>
      <w:numFmt w:val="decimal"/>
      <w:suff w:val="space"/>
      <w:lvlText w:val="%1.%2.%3.%4.%5."/>
      <w:lvlJc w:val="left"/>
      <w:pPr>
        <w:ind w:left="1703" w:hanging="283"/>
      </w:pPr>
      <w:rPr>
        <w:rFonts w:hint="default"/>
        <w:color w:val="000000" w:themeColor="text1"/>
      </w:rPr>
    </w:lvl>
    <w:lvl w:ilvl="5">
      <w:start w:val="1"/>
      <w:numFmt w:val="decimal"/>
      <w:suff w:val="space"/>
      <w:lvlText w:val="%1.%2.%3.%4.%5.%6"/>
      <w:lvlJc w:val="left"/>
      <w:pPr>
        <w:ind w:left="1987" w:hanging="283"/>
      </w:pPr>
      <w:rPr>
        <w:rFonts w:hint="default"/>
        <w:color w:val="000000" w:themeColor="text1"/>
      </w:rPr>
    </w:lvl>
    <w:lvl w:ilvl="6">
      <w:start w:val="1"/>
      <w:numFmt w:val="decimal"/>
      <w:suff w:val="space"/>
      <w:lvlText w:val="%1.%2.%3.%4.%5.%6.%7"/>
      <w:lvlJc w:val="left"/>
      <w:pPr>
        <w:ind w:left="2271" w:hanging="283"/>
      </w:pPr>
      <w:rPr>
        <w:rFonts w:hint="default"/>
        <w:color w:val="000000" w:themeColor="text1"/>
      </w:rPr>
    </w:lvl>
    <w:lvl w:ilvl="7">
      <w:start w:val="1"/>
      <w:numFmt w:val="decimal"/>
      <w:suff w:val="space"/>
      <w:lvlText w:val="%1.%2.%3.%4.%5.%6.%8"/>
      <w:lvlJc w:val="left"/>
      <w:pPr>
        <w:ind w:left="2555" w:hanging="283"/>
      </w:pPr>
      <w:rPr>
        <w:rFonts w:hint="default"/>
        <w:color w:val="000000" w:themeColor="text1"/>
      </w:rPr>
    </w:lvl>
    <w:lvl w:ilvl="8">
      <w:start w:val="1"/>
      <w:numFmt w:val="decimal"/>
      <w:suff w:val="space"/>
      <w:lvlText w:val="%1.%2.%3.%4.%5.%6.%9"/>
      <w:lvlJc w:val="left"/>
      <w:pPr>
        <w:ind w:left="2839" w:hanging="283"/>
      </w:pPr>
      <w:rPr>
        <w:rFonts w:hint="default"/>
        <w:color w:val="000000" w:themeColor="text1"/>
      </w:rPr>
    </w:lvl>
  </w:abstractNum>
  <w:abstractNum w:abstractNumId="50" w15:restartNumberingAfterBreak="0">
    <w:nsid w:val="63D657EE"/>
    <w:multiLevelType w:val="multilevel"/>
    <w:tmpl w:val="3DAC64D2"/>
    <w:name w:val="ISOPROC NUMMERING5"/>
    <w:lvl w:ilvl="0">
      <w:start w:val="1"/>
      <w:numFmt w:val="decimal"/>
      <w:lvlText w:val="%1."/>
      <w:lvlJc w:val="left"/>
      <w:pPr>
        <w:ind w:left="360" w:hanging="360"/>
      </w:pPr>
      <w:rPr>
        <w:rFonts w:hint="default"/>
        <w:color w:val="8AB7BC" w:themeColor="background2"/>
      </w:rPr>
    </w:lvl>
    <w:lvl w:ilvl="1">
      <w:start w:val="1"/>
      <w:numFmt w:val="decimal"/>
      <w:lvlText w:val="%1.%2."/>
      <w:lvlJc w:val="left"/>
      <w:pPr>
        <w:ind w:left="720" w:hanging="360"/>
      </w:pPr>
      <w:rPr>
        <w:rFonts w:hint="default"/>
        <w:color w:val="8AB7BC" w:themeColor="background2"/>
      </w:rPr>
    </w:lvl>
    <w:lvl w:ilvl="2">
      <w:start w:val="1"/>
      <w:numFmt w:val="decimal"/>
      <w:lvlText w:val="%1.%2.%3."/>
      <w:lvlJc w:val="left"/>
      <w:pPr>
        <w:ind w:left="1080" w:hanging="360"/>
      </w:pPr>
      <w:rPr>
        <w:rFonts w:hint="default"/>
        <w:color w:val="8AB7BC" w:themeColor="background2"/>
      </w:rPr>
    </w:lvl>
    <w:lvl w:ilvl="3">
      <w:start w:val="1"/>
      <w:numFmt w:val="decimal"/>
      <w:lvlText w:val="%1.%2.%3.%4."/>
      <w:lvlJc w:val="left"/>
      <w:pPr>
        <w:ind w:left="1440" w:hanging="360"/>
      </w:pPr>
      <w:rPr>
        <w:rFonts w:hint="default"/>
        <w:color w:val="8AB7BC" w:themeColor="background2"/>
      </w:rPr>
    </w:lvl>
    <w:lvl w:ilvl="4">
      <w:start w:val="1"/>
      <w:numFmt w:val="decimal"/>
      <w:lvlText w:val="%1.%2.%3.%4.%5."/>
      <w:lvlJc w:val="left"/>
      <w:pPr>
        <w:ind w:left="1800" w:hanging="360"/>
      </w:pPr>
      <w:rPr>
        <w:rFonts w:hint="default"/>
        <w:color w:val="8AB7BC" w:themeColor="background2"/>
      </w:rPr>
    </w:lvl>
    <w:lvl w:ilvl="5">
      <w:start w:val="1"/>
      <w:numFmt w:val="decimal"/>
      <w:lvlText w:val="%1.%2.%3.%4.%5.%6."/>
      <w:lvlJc w:val="left"/>
      <w:pPr>
        <w:ind w:left="2160" w:hanging="360"/>
      </w:pPr>
      <w:rPr>
        <w:rFonts w:hint="default"/>
        <w:color w:val="8AB7BC" w:themeColor="background2"/>
      </w:rPr>
    </w:lvl>
    <w:lvl w:ilvl="6">
      <w:start w:val="1"/>
      <w:numFmt w:val="decimal"/>
      <w:lvlText w:val="%1.%2.%3.%4.%5.%6.%7."/>
      <w:lvlJc w:val="left"/>
      <w:pPr>
        <w:ind w:left="2520" w:hanging="360"/>
      </w:pPr>
      <w:rPr>
        <w:rFonts w:hint="default"/>
        <w:color w:val="8AB7BC" w:themeColor="background2"/>
      </w:rPr>
    </w:lvl>
    <w:lvl w:ilvl="7">
      <w:start w:val="1"/>
      <w:numFmt w:val="decimal"/>
      <w:lvlText w:val="%1.%2.%3.%4.%5.%6.%8."/>
      <w:lvlJc w:val="left"/>
      <w:pPr>
        <w:ind w:left="2880" w:hanging="360"/>
      </w:pPr>
      <w:rPr>
        <w:rFonts w:hint="default"/>
        <w:color w:val="8AB7BC" w:themeColor="background2"/>
      </w:rPr>
    </w:lvl>
    <w:lvl w:ilvl="8">
      <w:start w:val="1"/>
      <w:numFmt w:val="decimal"/>
      <w:lvlText w:val="%1.%2.%3.%4.%5.%6.%9."/>
      <w:lvlJc w:val="left"/>
      <w:pPr>
        <w:ind w:left="3240" w:hanging="360"/>
      </w:pPr>
      <w:rPr>
        <w:rFonts w:hint="default"/>
        <w:color w:val="8AB7BC" w:themeColor="background2"/>
      </w:rPr>
    </w:lvl>
  </w:abstractNum>
  <w:abstractNum w:abstractNumId="51" w15:restartNumberingAfterBreak="0">
    <w:nsid w:val="6C2A45A7"/>
    <w:multiLevelType w:val="multilevel"/>
    <w:tmpl w:val="D8E2F2A0"/>
    <w:numStyleLink w:val="ISOPROC-2019-opsomming-ongenummerd"/>
  </w:abstractNum>
  <w:abstractNum w:abstractNumId="52" w15:restartNumberingAfterBreak="0">
    <w:nsid w:val="6F055AD2"/>
    <w:multiLevelType w:val="multilevel"/>
    <w:tmpl w:val="D8E2F2A0"/>
    <w:numStyleLink w:val="ISOPROC-2019-opsomming-ongenummerd"/>
  </w:abstractNum>
  <w:abstractNum w:abstractNumId="53" w15:restartNumberingAfterBreak="0">
    <w:nsid w:val="709F5189"/>
    <w:multiLevelType w:val="multilevel"/>
    <w:tmpl w:val="D8E2F2A0"/>
    <w:numStyleLink w:val="ISOPROC-2019-opsomming-ongenummerd"/>
  </w:abstractNum>
  <w:abstractNum w:abstractNumId="54" w15:restartNumberingAfterBreak="0">
    <w:nsid w:val="7142427D"/>
    <w:multiLevelType w:val="multilevel"/>
    <w:tmpl w:val="EBAA63A2"/>
    <w:name w:val="ISOPROC NUMMERING3"/>
    <w:lvl w:ilvl="0">
      <w:start w:val="1"/>
      <w:numFmt w:val="decimal"/>
      <w:lvlText w:val="%1."/>
      <w:lvlJc w:val="left"/>
      <w:pPr>
        <w:ind w:left="726" w:hanging="726"/>
      </w:pPr>
      <w:rPr>
        <w:rFonts w:hint="default"/>
        <w:color w:val="000000" w:themeColor="text1"/>
        <w:sz w:val="22"/>
        <w:szCs w:val="22"/>
      </w:rPr>
    </w:lvl>
    <w:lvl w:ilvl="1">
      <w:start w:val="1"/>
      <w:numFmt w:val="decimal"/>
      <w:lvlText w:val="%1.%2."/>
      <w:lvlJc w:val="left"/>
      <w:pPr>
        <w:ind w:left="726" w:hanging="726"/>
      </w:pPr>
      <w:rPr>
        <w:rFonts w:hint="default"/>
        <w:color w:val="000000" w:themeColor="text1"/>
      </w:rPr>
    </w:lvl>
    <w:lvl w:ilvl="2">
      <w:start w:val="1"/>
      <w:numFmt w:val="decimal"/>
      <w:lvlText w:val="%1.%2.%3."/>
      <w:lvlJc w:val="left"/>
      <w:pPr>
        <w:ind w:left="726" w:hanging="726"/>
      </w:pPr>
      <w:rPr>
        <w:rFonts w:hint="default"/>
        <w:color w:val="000000" w:themeColor="text1"/>
      </w:rPr>
    </w:lvl>
    <w:lvl w:ilvl="3">
      <w:start w:val="1"/>
      <w:numFmt w:val="decimal"/>
      <w:lvlText w:val="%1.%2.%3.%4."/>
      <w:lvlJc w:val="left"/>
      <w:pPr>
        <w:ind w:left="726" w:hanging="726"/>
      </w:pPr>
      <w:rPr>
        <w:rFonts w:hint="default"/>
        <w:b w:val="0"/>
        <w:i w:val="0"/>
        <w:color w:val="000000" w:themeColor="text1"/>
        <w:sz w:val="22"/>
        <w:szCs w:val="22"/>
      </w:rPr>
    </w:lvl>
    <w:lvl w:ilvl="4">
      <w:start w:val="1"/>
      <w:numFmt w:val="decimal"/>
      <w:lvlText w:val="%1.%2.%3.%4.%5."/>
      <w:lvlJc w:val="left"/>
      <w:pPr>
        <w:ind w:left="726" w:hanging="726"/>
      </w:pPr>
      <w:rPr>
        <w:rFonts w:hint="default"/>
        <w:color w:val="000000" w:themeColor="text1"/>
      </w:rPr>
    </w:lvl>
    <w:lvl w:ilvl="5">
      <w:start w:val="1"/>
      <w:numFmt w:val="decimal"/>
      <w:lvlText w:val="%1.%2.%3.%4.%5.%6."/>
      <w:lvlJc w:val="left"/>
      <w:pPr>
        <w:ind w:left="726" w:hanging="726"/>
      </w:pPr>
      <w:rPr>
        <w:rFonts w:hint="default"/>
        <w:color w:val="000000" w:themeColor="text1"/>
      </w:rPr>
    </w:lvl>
    <w:lvl w:ilvl="6">
      <w:start w:val="1"/>
      <w:numFmt w:val="decimal"/>
      <w:lvlText w:val="%1.%2.%3.%4.%5.%6.%7."/>
      <w:lvlJc w:val="left"/>
      <w:pPr>
        <w:ind w:left="726" w:hanging="726"/>
      </w:pPr>
      <w:rPr>
        <w:rFonts w:hint="default"/>
        <w:color w:val="000000" w:themeColor="text1"/>
      </w:rPr>
    </w:lvl>
    <w:lvl w:ilvl="7">
      <w:start w:val="1"/>
      <w:numFmt w:val="decimal"/>
      <w:lvlText w:val="%1.%2.%3.%4.%5.%6.%7.%8."/>
      <w:lvlJc w:val="left"/>
      <w:pPr>
        <w:ind w:left="726" w:hanging="726"/>
      </w:pPr>
      <w:rPr>
        <w:rFonts w:hint="default"/>
        <w:color w:val="000000" w:themeColor="text1"/>
      </w:rPr>
    </w:lvl>
    <w:lvl w:ilvl="8">
      <w:start w:val="1"/>
      <w:numFmt w:val="decimal"/>
      <w:lvlText w:val="%1.%2.%3.%4.%5.%6.%7.%8.%9."/>
      <w:lvlJc w:val="left"/>
      <w:pPr>
        <w:ind w:left="726" w:hanging="726"/>
      </w:pPr>
      <w:rPr>
        <w:rFonts w:hint="default"/>
        <w:color w:val="000000" w:themeColor="text1"/>
      </w:rPr>
    </w:lvl>
  </w:abstractNum>
  <w:abstractNum w:abstractNumId="55" w15:restartNumberingAfterBreak="0">
    <w:nsid w:val="776535A4"/>
    <w:multiLevelType w:val="multilevel"/>
    <w:tmpl w:val="716EFF7A"/>
    <w:name w:val="ISOPROC NUMMERING2"/>
    <w:lvl w:ilvl="0">
      <w:start w:val="1"/>
      <w:numFmt w:val="decimal"/>
      <w:lvlText w:val="%1."/>
      <w:lvlJc w:val="left"/>
      <w:pPr>
        <w:ind w:left="726" w:hanging="726"/>
      </w:pPr>
      <w:rPr>
        <w:rFonts w:hint="default"/>
        <w:color w:val="000000" w:themeColor="text1"/>
        <w:sz w:val="20"/>
      </w:rPr>
    </w:lvl>
    <w:lvl w:ilvl="1">
      <w:start w:val="1"/>
      <w:numFmt w:val="decimal"/>
      <w:lvlText w:val="%1.%2."/>
      <w:lvlJc w:val="left"/>
      <w:pPr>
        <w:ind w:left="726" w:hanging="726"/>
      </w:pPr>
      <w:rPr>
        <w:rFonts w:hint="default"/>
        <w:color w:val="000000" w:themeColor="text1"/>
      </w:rPr>
    </w:lvl>
    <w:lvl w:ilvl="2">
      <w:start w:val="1"/>
      <w:numFmt w:val="decimal"/>
      <w:lvlText w:val="%1.%2.%3."/>
      <w:lvlJc w:val="left"/>
      <w:pPr>
        <w:ind w:left="726" w:hanging="726"/>
      </w:pPr>
      <w:rPr>
        <w:rFonts w:hint="default"/>
        <w:color w:val="000000" w:themeColor="text1"/>
      </w:rPr>
    </w:lvl>
    <w:lvl w:ilvl="3">
      <w:start w:val="1"/>
      <w:numFmt w:val="decimal"/>
      <w:lvlText w:val="%1.%2.%3.%4"/>
      <w:lvlJc w:val="left"/>
      <w:pPr>
        <w:ind w:left="726" w:hanging="726"/>
      </w:pPr>
      <w:rPr>
        <w:rFonts w:hint="default"/>
        <w:b w:val="0"/>
        <w:i w:val="0"/>
        <w:color w:val="000000" w:themeColor="text1"/>
      </w:rPr>
    </w:lvl>
    <w:lvl w:ilvl="4">
      <w:start w:val="1"/>
      <w:numFmt w:val="decimal"/>
      <w:lvlText w:val="%1.%2.%3.%4.%5."/>
      <w:lvlJc w:val="left"/>
      <w:pPr>
        <w:ind w:left="726" w:hanging="726"/>
      </w:pPr>
      <w:rPr>
        <w:rFonts w:hint="default"/>
        <w:color w:val="000000" w:themeColor="text1"/>
      </w:rPr>
    </w:lvl>
    <w:lvl w:ilvl="5">
      <w:start w:val="1"/>
      <w:numFmt w:val="decimal"/>
      <w:lvlText w:val="%1.%2.%3.%4.%5.%6."/>
      <w:lvlJc w:val="left"/>
      <w:pPr>
        <w:ind w:left="726" w:hanging="726"/>
      </w:pPr>
      <w:rPr>
        <w:rFonts w:hint="default"/>
        <w:color w:val="000000" w:themeColor="text1"/>
      </w:rPr>
    </w:lvl>
    <w:lvl w:ilvl="6">
      <w:start w:val="1"/>
      <w:numFmt w:val="decimal"/>
      <w:lvlText w:val="%1.%2.%3.%4.%5.%6.%7."/>
      <w:lvlJc w:val="left"/>
      <w:pPr>
        <w:ind w:left="726" w:hanging="726"/>
      </w:pPr>
      <w:rPr>
        <w:rFonts w:hint="default"/>
        <w:color w:val="000000" w:themeColor="text1"/>
      </w:rPr>
    </w:lvl>
    <w:lvl w:ilvl="7">
      <w:start w:val="1"/>
      <w:numFmt w:val="decimal"/>
      <w:lvlText w:val="%1.%2.%3.%4.%5.%6.%7.%8."/>
      <w:lvlJc w:val="left"/>
      <w:pPr>
        <w:ind w:left="726" w:hanging="726"/>
      </w:pPr>
      <w:rPr>
        <w:rFonts w:hint="default"/>
        <w:color w:val="000000" w:themeColor="text1"/>
      </w:rPr>
    </w:lvl>
    <w:lvl w:ilvl="8">
      <w:start w:val="1"/>
      <w:numFmt w:val="decimal"/>
      <w:lvlText w:val="%1.%2.%3.%4.%5.%6.%7.%8.%9."/>
      <w:lvlJc w:val="left"/>
      <w:pPr>
        <w:ind w:left="726" w:hanging="726"/>
      </w:pPr>
      <w:rPr>
        <w:rFonts w:hint="default"/>
        <w:color w:val="000000" w:themeColor="text1"/>
      </w:rPr>
    </w:lvl>
  </w:abstractNum>
  <w:abstractNum w:abstractNumId="56" w15:restartNumberingAfterBreak="0">
    <w:nsid w:val="7F4015EA"/>
    <w:multiLevelType w:val="multilevel"/>
    <w:tmpl w:val="0813001D"/>
    <w:name w:val="ISOPROC NUMMERING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7F857787"/>
    <w:multiLevelType w:val="multilevel"/>
    <w:tmpl w:val="89563540"/>
    <w:name w:val="ISOPROC_NUMMERING_KOPPEN"/>
    <w:lvl w:ilvl="0">
      <w:start w:val="1"/>
      <w:numFmt w:val="decimal"/>
      <w:lvlText w:val="%1."/>
      <w:lvlJc w:val="left"/>
      <w:pPr>
        <w:tabs>
          <w:tab w:val="num" w:pos="726"/>
        </w:tabs>
        <w:ind w:left="0" w:firstLine="0"/>
      </w:pPr>
      <w:rPr>
        <w:rFonts w:asciiTheme="majorHAnsi" w:hAnsiTheme="majorHAnsi" w:hint="default"/>
        <w:b w:val="0"/>
        <w:i w:val="0"/>
        <w:color w:val="FFFFFF" w:themeColor="background1"/>
        <w:sz w:val="28"/>
      </w:rPr>
    </w:lvl>
    <w:lvl w:ilvl="1">
      <w:start w:val="1"/>
      <w:numFmt w:val="decimal"/>
      <w:lvlText w:val="%1.%2."/>
      <w:lvlJc w:val="left"/>
      <w:pPr>
        <w:tabs>
          <w:tab w:val="num" w:pos="726"/>
        </w:tabs>
        <w:ind w:left="0" w:firstLine="0"/>
      </w:pPr>
      <w:rPr>
        <w:rFonts w:hint="default"/>
        <w:color w:val="5D9AA1" w:themeColor="text2"/>
        <w:sz w:val="24"/>
      </w:rPr>
    </w:lvl>
    <w:lvl w:ilvl="2">
      <w:start w:val="1"/>
      <w:numFmt w:val="decimal"/>
      <w:lvlText w:val="%1.%2.%3."/>
      <w:lvlJc w:val="left"/>
      <w:pPr>
        <w:tabs>
          <w:tab w:val="num" w:pos="726"/>
        </w:tabs>
        <w:ind w:left="0" w:firstLine="0"/>
      </w:pPr>
      <w:rPr>
        <w:rFonts w:asciiTheme="majorHAnsi" w:hAnsiTheme="majorHAnsi" w:hint="default"/>
        <w:b w:val="0"/>
        <w:i w:val="0"/>
        <w:color w:val="5D9AA1" w:themeColor="text2"/>
        <w:sz w:val="24"/>
      </w:rPr>
    </w:lvl>
    <w:lvl w:ilvl="3">
      <w:start w:val="1"/>
      <w:numFmt w:val="decimal"/>
      <w:lvlText w:val="%1.%2.%3.%4."/>
      <w:lvlJc w:val="left"/>
      <w:pPr>
        <w:tabs>
          <w:tab w:val="num" w:pos="726"/>
        </w:tabs>
        <w:ind w:left="0" w:firstLine="0"/>
      </w:pPr>
      <w:rPr>
        <w:rFonts w:hint="default"/>
        <w:color w:val="000000" w:themeColor="text1"/>
        <w:sz w:val="20"/>
      </w:rPr>
    </w:lvl>
    <w:lvl w:ilvl="4">
      <w:start w:val="1"/>
      <w:numFmt w:val="decimal"/>
      <w:lvlText w:val="%1.%2.%3.%4.%5."/>
      <w:lvlJc w:val="left"/>
      <w:pPr>
        <w:tabs>
          <w:tab w:val="num" w:pos="726"/>
        </w:tabs>
        <w:ind w:left="0" w:firstLine="0"/>
      </w:pPr>
      <w:rPr>
        <w:rFonts w:hint="default"/>
        <w:color w:val="000000" w:themeColor="text1"/>
        <w:sz w:val="20"/>
      </w:rPr>
    </w:lvl>
    <w:lvl w:ilvl="5">
      <w:start w:val="1"/>
      <w:numFmt w:val="decimal"/>
      <w:lvlText w:val="%1.%2.%3.%4.%5.%6."/>
      <w:lvlJc w:val="left"/>
      <w:pPr>
        <w:tabs>
          <w:tab w:val="num" w:pos="726"/>
        </w:tabs>
        <w:ind w:left="0" w:firstLine="0"/>
      </w:pPr>
      <w:rPr>
        <w:rFonts w:hint="default"/>
        <w:color w:val="000000" w:themeColor="text1"/>
        <w:sz w:val="20"/>
      </w:rPr>
    </w:lvl>
    <w:lvl w:ilvl="6">
      <w:start w:val="1"/>
      <w:numFmt w:val="decimal"/>
      <w:lvlText w:val="%1.%2.%3.%4.%5.%6.%7."/>
      <w:lvlJc w:val="left"/>
      <w:pPr>
        <w:tabs>
          <w:tab w:val="num" w:pos="726"/>
        </w:tabs>
        <w:ind w:left="0" w:firstLine="0"/>
      </w:pPr>
      <w:rPr>
        <w:rFonts w:hint="default"/>
        <w:color w:val="000000" w:themeColor="text1"/>
        <w:sz w:val="20"/>
      </w:rPr>
    </w:lvl>
    <w:lvl w:ilvl="7">
      <w:start w:val="1"/>
      <w:numFmt w:val="decimal"/>
      <w:lvlText w:val="%1.%2.%3.%4.%5.%6.%7.%8."/>
      <w:lvlJc w:val="left"/>
      <w:pPr>
        <w:tabs>
          <w:tab w:val="num" w:pos="726"/>
        </w:tabs>
        <w:ind w:left="0" w:firstLine="0"/>
      </w:pPr>
      <w:rPr>
        <w:rFonts w:hint="default"/>
        <w:color w:val="000000" w:themeColor="text1"/>
        <w:sz w:val="20"/>
      </w:rPr>
    </w:lvl>
    <w:lvl w:ilvl="8">
      <w:start w:val="1"/>
      <w:numFmt w:val="decimal"/>
      <w:lvlText w:val="%1.%2.%3.%4.%5.%6.%7.%8.%9."/>
      <w:lvlJc w:val="left"/>
      <w:pPr>
        <w:tabs>
          <w:tab w:val="num" w:pos="726"/>
        </w:tabs>
        <w:ind w:left="0" w:firstLine="0"/>
      </w:pPr>
      <w:rPr>
        <w:rFonts w:hint="default"/>
        <w:color w:val="000000" w:themeColor="text1"/>
        <w:sz w:val="20"/>
      </w:rPr>
    </w:lvl>
  </w:abstractNum>
  <w:abstractNum w:abstractNumId="58" w15:restartNumberingAfterBreak="0">
    <w:nsid w:val="7FB47CA0"/>
    <w:multiLevelType w:val="hybridMultilevel"/>
    <w:tmpl w:val="08A61A96"/>
    <w:lvl w:ilvl="0" w:tplc="5EBCAC70">
      <w:start w:val="1"/>
      <w:numFmt w:val="bullet"/>
      <w:pStyle w:val="Kop2"/>
      <w:lvlText w:val=""/>
      <w:lvlJc w:val="left"/>
      <w:pPr>
        <w:ind w:left="720" w:hanging="360"/>
      </w:pPr>
      <w:rPr>
        <w:rFonts w:ascii="Wingdings" w:hAnsi="Wingdings" w:hint="default"/>
        <w:b w:val="0"/>
        <w:i w:val="0"/>
        <w:color w:val="5D9AA1" w:themeColor="text2"/>
        <w:kern w:val="24"/>
        <w:sz w:val="2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53040892">
    <w:abstractNumId w:val="31"/>
  </w:num>
  <w:num w:numId="2" w16cid:durableId="1447851328">
    <w:abstractNumId w:val="12"/>
  </w:num>
  <w:num w:numId="3" w16cid:durableId="264188821">
    <w:abstractNumId w:val="36"/>
  </w:num>
  <w:num w:numId="4" w16cid:durableId="1783456927">
    <w:abstractNumId w:val="58"/>
  </w:num>
  <w:num w:numId="5" w16cid:durableId="1677417955">
    <w:abstractNumId w:val="28"/>
  </w:num>
  <w:num w:numId="6" w16cid:durableId="838275988">
    <w:abstractNumId w:val="10"/>
  </w:num>
  <w:num w:numId="7" w16cid:durableId="1724211137">
    <w:abstractNumId w:val="48"/>
  </w:num>
  <w:num w:numId="8" w16cid:durableId="1341397387">
    <w:abstractNumId w:val="24"/>
  </w:num>
  <w:num w:numId="9" w16cid:durableId="1939289382">
    <w:abstractNumId w:val="11"/>
  </w:num>
  <w:num w:numId="10" w16cid:durableId="1797718321">
    <w:abstractNumId w:val="33"/>
  </w:num>
  <w:num w:numId="11" w16cid:durableId="1826167190">
    <w:abstractNumId w:val="29"/>
  </w:num>
  <w:num w:numId="12" w16cid:durableId="547448363">
    <w:abstractNumId w:val="44"/>
  </w:num>
  <w:num w:numId="13" w16cid:durableId="1144002182">
    <w:abstractNumId w:val="46"/>
  </w:num>
  <w:num w:numId="14" w16cid:durableId="1715886764">
    <w:abstractNumId w:val="53"/>
  </w:num>
  <w:num w:numId="15" w16cid:durableId="763574998">
    <w:abstractNumId w:val="38"/>
  </w:num>
  <w:num w:numId="16" w16cid:durableId="1386686977">
    <w:abstractNumId w:val="45"/>
  </w:num>
  <w:num w:numId="17" w16cid:durableId="73549424">
    <w:abstractNumId w:val="22"/>
  </w:num>
  <w:num w:numId="18" w16cid:durableId="63531326">
    <w:abstractNumId w:val="14"/>
  </w:num>
  <w:num w:numId="19" w16cid:durableId="947005975">
    <w:abstractNumId w:val="20"/>
  </w:num>
  <w:num w:numId="20" w16cid:durableId="1517965976">
    <w:abstractNumId w:val="18"/>
  </w:num>
  <w:num w:numId="21" w16cid:durableId="1917546799">
    <w:abstractNumId w:val="34"/>
  </w:num>
  <w:num w:numId="22" w16cid:durableId="1598634651">
    <w:abstractNumId w:val="41"/>
  </w:num>
  <w:num w:numId="23" w16cid:durableId="1844859366">
    <w:abstractNumId w:val="52"/>
  </w:num>
  <w:num w:numId="24" w16cid:durableId="1043796117">
    <w:abstractNumId w:val="37"/>
  </w:num>
  <w:num w:numId="25" w16cid:durableId="1967466012">
    <w:abstractNumId w:val="51"/>
  </w:num>
  <w:num w:numId="26" w16cid:durableId="616527082">
    <w:abstractNumId w:val="42"/>
  </w:num>
  <w:num w:numId="27" w16cid:durableId="628785104">
    <w:abstractNumId w:val="26"/>
  </w:num>
  <w:num w:numId="28" w16cid:durableId="1111048687">
    <w:abstractNumId w:val="32"/>
  </w:num>
  <w:num w:numId="29" w16cid:durableId="742528511">
    <w:abstractNumId w:val="47"/>
  </w:num>
  <w:num w:numId="30" w16cid:durableId="13388204">
    <w:abstractNumId w:val="19"/>
  </w:num>
  <w:num w:numId="31" w16cid:durableId="806049525">
    <w:abstractNumId w:val="27"/>
  </w:num>
  <w:num w:numId="32" w16cid:durableId="1748263439">
    <w:abstractNumId w:val="15"/>
  </w:num>
  <w:num w:numId="33" w16cid:durableId="856849713">
    <w:abstractNumId w:val="9"/>
  </w:num>
  <w:num w:numId="34" w16cid:durableId="2108694590">
    <w:abstractNumId w:val="7"/>
  </w:num>
  <w:num w:numId="35" w16cid:durableId="628363632">
    <w:abstractNumId w:val="6"/>
  </w:num>
  <w:num w:numId="36" w16cid:durableId="2104060767">
    <w:abstractNumId w:val="5"/>
  </w:num>
  <w:num w:numId="37" w16cid:durableId="1663047207">
    <w:abstractNumId w:val="4"/>
  </w:num>
  <w:num w:numId="38" w16cid:durableId="115681725">
    <w:abstractNumId w:val="8"/>
  </w:num>
  <w:num w:numId="39" w16cid:durableId="1015302195">
    <w:abstractNumId w:val="3"/>
  </w:num>
  <w:num w:numId="40" w16cid:durableId="484198424">
    <w:abstractNumId w:val="2"/>
  </w:num>
  <w:num w:numId="41" w16cid:durableId="1682661818">
    <w:abstractNumId w:val="1"/>
  </w:num>
  <w:num w:numId="42" w16cid:durableId="1602179556">
    <w:abstractNumId w:val="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25"/>
    <w:rsid w:val="00000B23"/>
    <w:rsid w:val="00001962"/>
    <w:rsid w:val="00001BDF"/>
    <w:rsid w:val="00011DBD"/>
    <w:rsid w:val="00015059"/>
    <w:rsid w:val="0002032A"/>
    <w:rsid w:val="00020945"/>
    <w:rsid w:val="00020EA9"/>
    <w:rsid w:val="00021AE7"/>
    <w:rsid w:val="00022D3A"/>
    <w:rsid w:val="00022F30"/>
    <w:rsid w:val="00024554"/>
    <w:rsid w:val="00027C90"/>
    <w:rsid w:val="000304EE"/>
    <w:rsid w:val="000320F8"/>
    <w:rsid w:val="00034CC5"/>
    <w:rsid w:val="00037A9A"/>
    <w:rsid w:val="0004250A"/>
    <w:rsid w:val="00045052"/>
    <w:rsid w:val="0004527C"/>
    <w:rsid w:val="000455B8"/>
    <w:rsid w:val="0004587C"/>
    <w:rsid w:val="00047350"/>
    <w:rsid w:val="000473D3"/>
    <w:rsid w:val="000473EB"/>
    <w:rsid w:val="00051263"/>
    <w:rsid w:val="00051265"/>
    <w:rsid w:val="00057908"/>
    <w:rsid w:val="000604AE"/>
    <w:rsid w:val="000624FC"/>
    <w:rsid w:val="0006707F"/>
    <w:rsid w:val="00067C15"/>
    <w:rsid w:val="00067EEB"/>
    <w:rsid w:val="00075156"/>
    <w:rsid w:val="000756AF"/>
    <w:rsid w:val="000817C5"/>
    <w:rsid w:val="00082446"/>
    <w:rsid w:val="00085FF4"/>
    <w:rsid w:val="00091F40"/>
    <w:rsid w:val="00092B50"/>
    <w:rsid w:val="0009476C"/>
    <w:rsid w:val="000A17C9"/>
    <w:rsid w:val="000A34E8"/>
    <w:rsid w:val="000A51BF"/>
    <w:rsid w:val="000A5E97"/>
    <w:rsid w:val="000A60A5"/>
    <w:rsid w:val="000B07C9"/>
    <w:rsid w:val="000B150D"/>
    <w:rsid w:val="000B3319"/>
    <w:rsid w:val="000B3984"/>
    <w:rsid w:val="000B5452"/>
    <w:rsid w:val="000B71F5"/>
    <w:rsid w:val="000B7C6B"/>
    <w:rsid w:val="000C3F18"/>
    <w:rsid w:val="000C60EA"/>
    <w:rsid w:val="000C7F3D"/>
    <w:rsid w:val="000D19A2"/>
    <w:rsid w:val="000D60F0"/>
    <w:rsid w:val="000E072E"/>
    <w:rsid w:val="000E0CB9"/>
    <w:rsid w:val="000E162D"/>
    <w:rsid w:val="000E2FD9"/>
    <w:rsid w:val="000E5693"/>
    <w:rsid w:val="000E5BF8"/>
    <w:rsid w:val="000F02A7"/>
    <w:rsid w:val="000F2DC3"/>
    <w:rsid w:val="000F3A43"/>
    <w:rsid w:val="000F519E"/>
    <w:rsid w:val="00100561"/>
    <w:rsid w:val="00100B84"/>
    <w:rsid w:val="00103E18"/>
    <w:rsid w:val="001105CD"/>
    <w:rsid w:val="001111B3"/>
    <w:rsid w:val="001111CA"/>
    <w:rsid w:val="001135B9"/>
    <w:rsid w:val="00121713"/>
    <w:rsid w:val="00121A3E"/>
    <w:rsid w:val="00124AC9"/>
    <w:rsid w:val="001308C4"/>
    <w:rsid w:val="00131790"/>
    <w:rsid w:val="0013299C"/>
    <w:rsid w:val="001329C3"/>
    <w:rsid w:val="001357CF"/>
    <w:rsid w:val="00136C4D"/>
    <w:rsid w:val="001423B6"/>
    <w:rsid w:val="001425AD"/>
    <w:rsid w:val="0014268B"/>
    <w:rsid w:val="0014355D"/>
    <w:rsid w:val="00143C69"/>
    <w:rsid w:val="00144F55"/>
    <w:rsid w:val="0014597A"/>
    <w:rsid w:val="00146F66"/>
    <w:rsid w:val="001474EC"/>
    <w:rsid w:val="00151DDA"/>
    <w:rsid w:val="0015203A"/>
    <w:rsid w:val="00155033"/>
    <w:rsid w:val="00155179"/>
    <w:rsid w:val="00155DD4"/>
    <w:rsid w:val="00160D23"/>
    <w:rsid w:val="00162236"/>
    <w:rsid w:val="00165DDC"/>
    <w:rsid w:val="001678BB"/>
    <w:rsid w:val="00171EA7"/>
    <w:rsid w:val="001729CB"/>
    <w:rsid w:val="00172B3A"/>
    <w:rsid w:val="0017532F"/>
    <w:rsid w:val="00177A53"/>
    <w:rsid w:val="0018187D"/>
    <w:rsid w:val="001839E2"/>
    <w:rsid w:val="001854F1"/>
    <w:rsid w:val="001877D1"/>
    <w:rsid w:val="0019293E"/>
    <w:rsid w:val="00192E86"/>
    <w:rsid w:val="00193CE2"/>
    <w:rsid w:val="00195D6C"/>
    <w:rsid w:val="001A22AC"/>
    <w:rsid w:val="001A285A"/>
    <w:rsid w:val="001A415C"/>
    <w:rsid w:val="001A4450"/>
    <w:rsid w:val="001A5AD7"/>
    <w:rsid w:val="001A6A12"/>
    <w:rsid w:val="001A7101"/>
    <w:rsid w:val="001A78C5"/>
    <w:rsid w:val="001B1D4B"/>
    <w:rsid w:val="001B6799"/>
    <w:rsid w:val="001C017D"/>
    <w:rsid w:val="001C1E77"/>
    <w:rsid w:val="001C2015"/>
    <w:rsid w:val="001C2A7F"/>
    <w:rsid w:val="001C3F0D"/>
    <w:rsid w:val="001C5C56"/>
    <w:rsid w:val="001C61C0"/>
    <w:rsid w:val="001C6428"/>
    <w:rsid w:val="001D0FBA"/>
    <w:rsid w:val="001D1D4C"/>
    <w:rsid w:val="001D2E03"/>
    <w:rsid w:val="001D43C4"/>
    <w:rsid w:val="001E29AB"/>
    <w:rsid w:val="001E332A"/>
    <w:rsid w:val="001F06AE"/>
    <w:rsid w:val="001F6467"/>
    <w:rsid w:val="00200922"/>
    <w:rsid w:val="00200947"/>
    <w:rsid w:val="00201F6A"/>
    <w:rsid w:val="002036FC"/>
    <w:rsid w:val="002132F3"/>
    <w:rsid w:val="002136A7"/>
    <w:rsid w:val="00214F24"/>
    <w:rsid w:val="00215A18"/>
    <w:rsid w:val="00220602"/>
    <w:rsid w:val="00222696"/>
    <w:rsid w:val="00235D95"/>
    <w:rsid w:val="00240666"/>
    <w:rsid w:val="00246BDB"/>
    <w:rsid w:val="00250CD3"/>
    <w:rsid w:val="00250FB7"/>
    <w:rsid w:val="00253D53"/>
    <w:rsid w:val="0025665F"/>
    <w:rsid w:val="0026349C"/>
    <w:rsid w:val="002655CE"/>
    <w:rsid w:val="002660A0"/>
    <w:rsid w:val="00266DA5"/>
    <w:rsid w:val="00267C58"/>
    <w:rsid w:val="00273049"/>
    <w:rsid w:val="00274D56"/>
    <w:rsid w:val="00275102"/>
    <w:rsid w:val="002776D2"/>
    <w:rsid w:val="0028007D"/>
    <w:rsid w:val="002806D4"/>
    <w:rsid w:val="0028661D"/>
    <w:rsid w:val="0028700E"/>
    <w:rsid w:val="00291248"/>
    <w:rsid w:val="00293960"/>
    <w:rsid w:val="00296387"/>
    <w:rsid w:val="002A2DC8"/>
    <w:rsid w:val="002A5022"/>
    <w:rsid w:val="002B6079"/>
    <w:rsid w:val="002B71FC"/>
    <w:rsid w:val="002B7531"/>
    <w:rsid w:val="002C092F"/>
    <w:rsid w:val="002C25FA"/>
    <w:rsid w:val="002C3664"/>
    <w:rsid w:val="002C664E"/>
    <w:rsid w:val="002D1165"/>
    <w:rsid w:val="002D2B90"/>
    <w:rsid w:val="002D441A"/>
    <w:rsid w:val="002D4DBF"/>
    <w:rsid w:val="002E1352"/>
    <w:rsid w:val="002E2E78"/>
    <w:rsid w:val="002E6693"/>
    <w:rsid w:val="002E6904"/>
    <w:rsid w:val="002E6FE8"/>
    <w:rsid w:val="002E702A"/>
    <w:rsid w:val="002E7377"/>
    <w:rsid w:val="002F37EE"/>
    <w:rsid w:val="003023B5"/>
    <w:rsid w:val="00303149"/>
    <w:rsid w:val="00303459"/>
    <w:rsid w:val="00303B94"/>
    <w:rsid w:val="00303FA0"/>
    <w:rsid w:val="003043E8"/>
    <w:rsid w:val="00304DB5"/>
    <w:rsid w:val="00305D0B"/>
    <w:rsid w:val="0030604B"/>
    <w:rsid w:val="00306236"/>
    <w:rsid w:val="00311242"/>
    <w:rsid w:val="00311338"/>
    <w:rsid w:val="003132C7"/>
    <w:rsid w:val="00314C3A"/>
    <w:rsid w:val="00324133"/>
    <w:rsid w:val="003241A2"/>
    <w:rsid w:val="003306BC"/>
    <w:rsid w:val="00334053"/>
    <w:rsid w:val="00343259"/>
    <w:rsid w:val="003434CA"/>
    <w:rsid w:val="00344FAA"/>
    <w:rsid w:val="00345839"/>
    <w:rsid w:val="003474F7"/>
    <w:rsid w:val="003502D0"/>
    <w:rsid w:val="00351233"/>
    <w:rsid w:val="00351ED6"/>
    <w:rsid w:val="00353EAA"/>
    <w:rsid w:val="00354986"/>
    <w:rsid w:val="003571E0"/>
    <w:rsid w:val="00357FE1"/>
    <w:rsid w:val="00362422"/>
    <w:rsid w:val="00362425"/>
    <w:rsid w:val="00363331"/>
    <w:rsid w:val="0036648F"/>
    <w:rsid w:val="0036672B"/>
    <w:rsid w:val="003673CB"/>
    <w:rsid w:val="00370D87"/>
    <w:rsid w:val="00373159"/>
    <w:rsid w:val="00374BF7"/>
    <w:rsid w:val="00374C72"/>
    <w:rsid w:val="003754F4"/>
    <w:rsid w:val="0037716B"/>
    <w:rsid w:val="00377EF4"/>
    <w:rsid w:val="00384D44"/>
    <w:rsid w:val="00386DD4"/>
    <w:rsid w:val="0038762D"/>
    <w:rsid w:val="00391974"/>
    <w:rsid w:val="00393A05"/>
    <w:rsid w:val="00397C76"/>
    <w:rsid w:val="003A0289"/>
    <w:rsid w:val="003A0813"/>
    <w:rsid w:val="003A3864"/>
    <w:rsid w:val="003A398A"/>
    <w:rsid w:val="003A6C35"/>
    <w:rsid w:val="003A7E70"/>
    <w:rsid w:val="003B30C5"/>
    <w:rsid w:val="003B38DF"/>
    <w:rsid w:val="003B6980"/>
    <w:rsid w:val="003C17F1"/>
    <w:rsid w:val="003C322D"/>
    <w:rsid w:val="003C3414"/>
    <w:rsid w:val="003D02C0"/>
    <w:rsid w:val="003D0394"/>
    <w:rsid w:val="003D098C"/>
    <w:rsid w:val="003D0DD1"/>
    <w:rsid w:val="003D2C7F"/>
    <w:rsid w:val="003D3755"/>
    <w:rsid w:val="003D4E2B"/>
    <w:rsid w:val="003D70A2"/>
    <w:rsid w:val="003D72B8"/>
    <w:rsid w:val="003E0726"/>
    <w:rsid w:val="003E0A95"/>
    <w:rsid w:val="003E18EF"/>
    <w:rsid w:val="003E3CDA"/>
    <w:rsid w:val="003E741E"/>
    <w:rsid w:val="003F2D66"/>
    <w:rsid w:val="003F57AE"/>
    <w:rsid w:val="003F68E3"/>
    <w:rsid w:val="003F6B1D"/>
    <w:rsid w:val="003F738F"/>
    <w:rsid w:val="00401040"/>
    <w:rsid w:val="00401BAD"/>
    <w:rsid w:val="00401C6E"/>
    <w:rsid w:val="00405BEF"/>
    <w:rsid w:val="00407E31"/>
    <w:rsid w:val="004115CB"/>
    <w:rsid w:val="00411CF9"/>
    <w:rsid w:val="0041431F"/>
    <w:rsid w:val="004159D2"/>
    <w:rsid w:val="00416B80"/>
    <w:rsid w:val="00417717"/>
    <w:rsid w:val="00421395"/>
    <w:rsid w:val="0042357A"/>
    <w:rsid w:val="00424774"/>
    <w:rsid w:val="004262CE"/>
    <w:rsid w:val="0042716A"/>
    <w:rsid w:val="00431FF3"/>
    <w:rsid w:val="0043273D"/>
    <w:rsid w:val="00432984"/>
    <w:rsid w:val="004338D2"/>
    <w:rsid w:val="004349EE"/>
    <w:rsid w:val="00441232"/>
    <w:rsid w:val="00441E6A"/>
    <w:rsid w:val="00442BA7"/>
    <w:rsid w:val="00443338"/>
    <w:rsid w:val="004449FA"/>
    <w:rsid w:val="0044746D"/>
    <w:rsid w:val="00447D44"/>
    <w:rsid w:val="0045061F"/>
    <w:rsid w:val="004518CD"/>
    <w:rsid w:val="00452BCE"/>
    <w:rsid w:val="00454CF5"/>
    <w:rsid w:val="0045598A"/>
    <w:rsid w:val="004575EC"/>
    <w:rsid w:val="004609E8"/>
    <w:rsid w:val="0046135A"/>
    <w:rsid w:val="00462850"/>
    <w:rsid w:val="00464AB3"/>
    <w:rsid w:val="00465F35"/>
    <w:rsid w:val="00470A15"/>
    <w:rsid w:val="00470C21"/>
    <w:rsid w:val="00471AF8"/>
    <w:rsid w:val="00472079"/>
    <w:rsid w:val="0047355A"/>
    <w:rsid w:val="00473581"/>
    <w:rsid w:val="00473C53"/>
    <w:rsid w:val="00474AA6"/>
    <w:rsid w:val="00475ABE"/>
    <w:rsid w:val="004776EB"/>
    <w:rsid w:val="00480B11"/>
    <w:rsid w:val="00481C3C"/>
    <w:rsid w:val="0048583F"/>
    <w:rsid w:val="00496755"/>
    <w:rsid w:val="004969D0"/>
    <w:rsid w:val="00496E2A"/>
    <w:rsid w:val="004973E4"/>
    <w:rsid w:val="00497A47"/>
    <w:rsid w:val="004A334A"/>
    <w:rsid w:val="004A4A6C"/>
    <w:rsid w:val="004A5802"/>
    <w:rsid w:val="004A61E1"/>
    <w:rsid w:val="004B52BD"/>
    <w:rsid w:val="004C28C2"/>
    <w:rsid w:val="004C6043"/>
    <w:rsid w:val="004C7A33"/>
    <w:rsid w:val="004D178B"/>
    <w:rsid w:val="004D3F37"/>
    <w:rsid w:val="004D4872"/>
    <w:rsid w:val="004D59A3"/>
    <w:rsid w:val="004E24CC"/>
    <w:rsid w:val="004E4920"/>
    <w:rsid w:val="004E5E58"/>
    <w:rsid w:val="004E6D8F"/>
    <w:rsid w:val="004F1926"/>
    <w:rsid w:val="004F38F1"/>
    <w:rsid w:val="004F4903"/>
    <w:rsid w:val="004F5245"/>
    <w:rsid w:val="004F5708"/>
    <w:rsid w:val="004F5B9C"/>
    <w:rsid w:val="004F7243"/>
    <w:rsid w:val="00500E1A"/>
    <w:rsid w:val="005012DF"/>
    <w:rsid w:val="00506C46"/>
    <w:rsid w:val="00507799"/>
    <w:rsid w:val="0051158D"/>
    <w:rsid w:val="00511F75"/>
    <w:rsid w:val="00513493"/>
    <w:rsid w:val="00513D1C"/>
    <w:rsid w:val="00516C48"/>
    <w:rsid w:val="00521501"/>
    <w:rsid w:val="00522D0A"/>
    <w:rsid w:val="00523600"/>
    <w:rsid w:val="00526121"/>
    <w:rsid w:val="0052636C"/>
    <w:rsid w:val="00526BB6"/>
    <w:rsid w:val="00526C39"/>
    <w:rsid w:val="005273BE"/>
    <w:rsid w:val="00530F6E"/>
    <w:rsid w:val="005324C8"/>
    <w:rsid w:val="0053474C"/>
    <w:rsid w:val="00537C50"/>
    <w:rsid w:val="00543772"/>
    <w:rsid w:val="005453C3"/>
    <w:rsid w:val="00546F74"/>
    <w:rsid w:val="00550500"/>
    <w:rsid w:val="00550603"/>
    <w:rsid w:val="00551EEC"/>
    <w:rsid w:val="00555E2C"/>
    <w:rsid w:val="00555F29"/>
    <w:rsid w:val="0055743A"/>
    <w:rsid w:val="00560531"/>
    <w:rsid w:val="005611C2"/>
    <w:rsid w:val="00561337"/>
    <w:rsid w:val="005660A8"/>
    <w:rsid w:val="005705F6"/>
    <w:rsid w:val="00580D24"/>
    <w:rsid w:val="00582901"/>
    <w:rsid w:val="00582E17"/>
    <w:rsid w:val="00583D70"/>
    <w:rsid w:val="00584C46"/>
    <w:rsid w:val="005866AB"/>
    <w:rsid w:val="00587844"/>
    <w:rsid w:val="00587B03"/>
    <w:rsid w:val="00587B34"/>
    <w:rsid w:val="00587E86"/>
    <w:rsid w:val="005915C8"/>
    <w:rsid w:val="00593EBF"/>
    <w:rsid w:val="005943B5"/>
    <w:rsid w:val="00595EF3"/>
    <w:rsid w:val="005A2C73"/>
    <w:rsid w:val="005A4AD6"/>
    <w:rsid w:val="005A4B35"/>
    <w:rsid w:val="005A69E6"/>
    <w:rsid w:val="005A6E7F"/>
    <w:rsid w:val="005B2EC1"/>
    <w:rsid w:val="005B7028"/>
    <w:rsid w:val="005B726D"/>
    <w:rsid w:val="005C0F7A"/>
    <w:rsid w:val="005C1BF3"/>
    <w:rsid w:val="005C52EA"/>
    <w:rsid w:val="005C7917"/>
    <w:rsid w:val="005D050C"/>
    <w:rsid w:val="005D0555"/>
    <w:rsid w:val="005D106A"/>
    <w:rsid w:val="005D10AB"/>
    <w:rsid w:val="005D1BBA"/>
    <w:rsid w:val="005D2D8F"/>
    <w:rsid w:val="005D366B"/>
    <w:rsid w:val="005E000A"/>
    <w:rsid w:val="005E02C6"/>
    <w:rsid w:val="005E066B"/>
    <w:rsid w:val="005E561B"/>
    <w:rsid w:val="005F3110"/>
    <w:rsid w:val="005F3BAE"/>
    <w:rsid w:val="005F4902"/>
    <w:rsid w:val="00601147"/>
    <w:rsid w:val="006016AF"/>
    <w:rsid w:val="006016D4"/>
    <w:rsid w:val="0060422F"/>
    <w:rsid w:val="00604F4A"/>
    <w:rsid w:val="00606BC5"/>
    <w:rsid w:val="006071AB"/>
    <w:rsid w:val="00613329"/>
    <w:rsid w:val="0061683C"/>
    <w:rsid w:val="00616D64"/>
    <w:rsid w:val="00617180"/>
    <w:rsid w:val="006175CC"/>
    <w:rsid w:val="00621D07"/>
    <w:rsid w:val="006223BA"/>
    <w:rsid w:val="006265D2"/>
    <w:rsid w:val="0062719F"/>
    <w:rsid w:val="00630509"/>
    <w:rsid w:val="00633CE1"/>
    <w:rsid w:val="00642D58"/>
    <w:rsid w:val="00643F90"/>
    <w:rsid w:val="00645793"/>
    <w:rsid w:val="00651D23"/>
    <w:rsid w:val="006529B1"/>
    <w:rsid w:val="00653DD1"/>
    <w:rsid w:val="00653F25"/>
    <w:rsid w:val="0065458F"/>
    <w:rsid w:val="00654742"/>
    <w:rsid w:val="00655FC1"/>
    <w:rsid w:val="00656D62"/>
    <w:rsid w:val="00657B80"/>
    <w:rsid w:val="0066359C"/>
    <w:rsid w:val="0067117A"/>
    <w:rsid w:val="00673C8F"/>
    <w:rsid w:val="006741CB"/>
    <w:rsid w:val="00674E2D"/>
    <w:rsid w:val="00675456"/>
    <w:rsid w:val="0067599F"/>
    <w:rsid w:val="00676354"/>
    <w:rsid w:val="00677F15"/>
    <w:rsid w:val="006803BE"/>
    <w:rsid w:val="006833F4"/>
    <w:rsid w:val="00683971"/>
    <w:rsid w:val="0068701F"/>
    <w:rsid w:val="00687DA4"/>
    <w:rsid w:val="00690891"/>
    <w:rsid w:val="006928D4"/>
    <w:rsid w:val="00694768"/>
    <w:rsid w:val="006A1850"/>
    <w:rsid w:val="006A23E3"/>
    <w:rsid w:val="006A28E2"/>
    <w:rsid w:val="006B192D"/>
    <w:rsid w:val="006B1CFD"/>
    <w:rsid w:val="006B3223"/>
    <w:rsid w:val="006B46AE"/>
    <w:rsid w:val="006B5C72"/>
    <w:rsid w:val="006C062E"/>
    <w:rsid w:val="006C287E"/>
    <w:rsid w:val="006C3661"/>
    <w:rsid w:val="006C45AF"/>
    <w:rsid w:val="006C5157"/>
    <w:rsid w:val="006C629E"/>
    <w:rsid w:val="006C68AD"/>
    <w:rsid w:val="006D4035"/>
    <w:rsid w:val="006D51B5"/>
    <w:rsid w:val="006D7514"/>
    <w:rsid w:val="006F0D18"/>
    <w:rsid w:val="006F275C"/>
    <w:rsid w:val="0070597C"/>
    <w:rsid w:val="00707CA0"/>
    <w:rsid w:val="007127C8"/>
    <w:rsid w:val="00713C88"/>
    <w:rsid w:val="00713F2F"/>
    <w:rsid w:val="00720422"/>
    <w:rsid w:val="00720478"/>
    <w:rsid w:val="007204A4"/>
    <w:rsid w:val="00720688"/>
    <w:rsid w:val="007213E5"/>
    <w:rsid w:val="00721A8B"/>
    <w:rsid w:val="00721B5A"/>
    <w:rsid w:val="00721C8C"/>
    <w:rsid w:val="00722485"/>
    <w:rsid w:val="007225A7"/>
    <w:rsid w:val="00722A46"/>
    <w:rsid w:val="00722F12"/>
    <w:rsid w:val="0072496D"/>
    <w:rsid w:val="00725B2D"/>
    <w:rsid w:val="0073066A"/>
    <w:rsid w:val="00730F5A"/>
    <w:rsid w:val="007310D4"/>
    <w:rsid w:val="00733025"/>
    <w:rsid w:val="007339AC"/>
    <w:rsid w:val="00736C59"/>
    <w:rsid w:val="007372AC"/>
    <w:rsid w:val="00737B7E"/>
    <w:rsid w:val="0074071F"/>
    <w:rsid w:val="00741B1A"/>
    <w:rsid w:val="00742886"/>
    <w:rsid w:val="00742D25"/>
    <w:rsid w:val="00746FC0"/>
    <w:rsid w:val="0075355A"/>
    <w:rsid w:val="00754949"/>
    <w:rsid w:val="0075721B"/>
    <w:rsid w:val="00761D45"/>
    <w:rsid w:val="0076633D"/>
    <w:rsid w:val="0077129A"/>
    <w:rsid w:val="007728FC"/>
    <w:rsid w:val="00775AB2"/>
    <w:rsid w:val="00776F91"/>
    <w:rsid w:val="007829B9"/>
    <w:rsid w:val="00782B5F"/>
    <w:rsid w:val="00783919"/>
    <w:rsid w:val="00785836"/>
    <w:rsid w:val="00787A0A"/>
    <w:rsid w:val="00792415"/>
    <w:rsid w:val="00793439"/>
    <w:rsid w:val="00794A61"/>
    <w:rsid w:val="00797D81"/>
    <w:rsid w:val="007A1D48"/>
    <w:rsid w:val="007A2A95"/>
    <w:rsid w:val="007A36E0"/>
    <w:rsid w:val="007A45D8"/>
    <w:rsid w:val="007A4726"/>
    <w:rsid w:val="007A4A0A"/>
    <w:rsid w:val="007A7BE6"/>
    <w:rsid w:val="007A7D40"/>
    <w:rsid w:val="007B0BEC"/>
    <w:rsid w:val="007B0DF0"/>
    <w:rsid w:val="007B379D"/>
    <w:rsid w:val="007C0FA7"/>
    <w:rsid w:val="007C1371"/>
    <w:rsid w:val="007C3060"/>
    <w:rsid w:val="007C308B"/>
    <w:rsid w:val="007C7FB1"/>
    <w:rsid w:val="007D0AA8"/>
    <w:rsid w:val="007E0262"/>
    <w:rsid w:val="007E1BEA"/>
    <w:rsid w:val="007E1ED7"/>
    <w:rsid w:val="007E3122"/>
    <w:rsid w:val="007E4B6F"/>
    <w:rsid w:val="007E692E"/>
    <w:rsid w:val="007E7119"/>
    <w:rsid w:val="007E718B"/>
    <w:rsid w:val="007E73CD"/>
    <w:rsid w:val="007E73FD"/>
    <w:rsid w:val="007E75B9"/>
    <w:rsid w:val="007E7EA8"/>
    <w:rsid w:val="007F00D0"/>
    <w:rsid w:val="007F1101"/>
    <w:rsid w:val="007F30E4"/>
    <w:rsid w:val="007F454F"/>
    <w:rsid w:val="007F4B71"/>
    <w:rsid w:val="007F60CC"/>
    <w:rsid w:val="0080173F"/>
    <w:rsid w:val="00804F49"/>
    <w:rsid w:val="0080614B"/>
    <w:rsid w:val="008069AA"/>
    <w:rsid w:val="00814D7D"/>
    <w:rsid w:val="00814E76"/>
    <w:rsid w:val="008162D2"/>
    <w:rsid w:val="00816B22"/>
    <w:rsid w:val="00817535"/>
    <w:rsid w:val="00817592"/>
    <w:rsid w:val="00817F51"/>
    <w:rsid w:val="0082143D"/>
    <w:rsid w:val="00821663"/>
    <w:rsid w:val="00821FB2"/>
    <w:rsid w:val="008231C0"/>
    <w:rsid w:val="008275F9"/>
    <w:rsid w:val="008316E5"/>
    <w:rsid w:val="008334CD"/>
    <w:rsid w:val="00835837"/>
    <w:rsid w:val="008369DF"/>
    <w:rsid w:val="00836FEB"/>
    <w:rsid w:val="00837F30"/>
    <w:rsid w:val="00840235"/>
    <w:rsid w:val="008409CE"/>
    <w:rsid w:val="00840BB6"/>
    <w:rsid w:val="008453DC"/>
    <w:rsid w:val="00847559"/>
    <w:rsid w:val="00852181"/>
    <w:rsid w:val="00852E7D"/>
    <w:rsid w:val="00854B52"/>
    <w:rsid w:val="00854D43"/>
    <w:rsid w:val="008557D4"/>
    <w:rsid w:val="00860837"/>
    <w:rsid w:val="00861E36"/>
    <w:rsid w:val="00866ACD"/>
    <w:rsid w:val="0087739B"/>
    <w:rsid w:val="00880F38"/>
    <w:rsid w:val="008822F2"/>
    <w:rsid w:val="0088347D"/>
    <w:rsid w:val="00887EA6"/>
    <w:rsid w:val="0089576D"/>
    <w:rsid w:val="00895AE5"/>
    <w:rsid w:val="00897E5A"/>
    <w:rsid w:val="008A06AD"/>
    <w:rsid w:val="008A0831"/>
    <w:rsid w:val="008A257F"/>
    <w:rsid w:val="008A340C"/>
    <w:rsid w:val="008A53C4"/>
    <w:rsid w:val="008A6158"/>
    <w:rsid w:val="008A641E"/>
    <w:rsid w:val="008A74D1"/>
    <w:rsid w:val="008B1D16"/>
    <w:rsid w:val="008B28B3"/>
    <w:rsid w:val="008B347D"/>
    <w:rsid w:val="008B3D3C"/>
    <w:rsid w:val="008B4096"/>
    <w:rsid w:val="008B41C0"/>
    <w:rsid w:val="008B5350"/>
    <w:rsid w:val="008B58C0"/>
    <w:rsid w:val="008B6512"/>
    <w:rsid w:val="008B67F4"/>
    <w:rsid w:val="008B697A"/>
    <w:rsid w:val="008C032F"/>
    <w:rsid w:val="008C2015"/>
    <w:rsid w:val="008C2EBC"/>
    <w:rsid w:val="008C2F3D"/>
    <w:rsid w:val="008C5678"/>
    <w:rsid w:val="008C65C3"/>
    <w:rsid w:val="008C7272"/>
    <w:rsid w:val="008D26C4"/>
    <w:rsid w:val="008D796B"/>
    <w:rsid w:val="008E096A"/>
    <w:rsid w:val="008E185A"/>
    <w:rsid w:val="008E7322"/>
    <w:rsid w:val="008F4237"/>
    <w:rsid w:val="008F5C77"/>
    <w:rsid w:val="008F6619"/>
    <w:rsid w:val="009005B4"/>
    <w:rsid w:val="00900A12"/>
    <w:rsid w:val="0090420D"/>
    <w:rsid w:val="00905772"/>
    <w:rsid w:val="00911393"/>
    <w:rsid w:val="009140D7"/>
    <w:rsid w:val="00917E36"/>
    <w:rsid w:val="009201C1"/>
    <w:rsid w:val="009232ED"/>
    <w:rsid w:val="00923B08"/>
    <w:rsid w:val="00924809"/>
    <w:rsid w:val="00924FE2"/>
    <w:rsid w:val="00925468"/>
    <w:rsid w:val="009325D3"/>
    <w:rsid w:val="00934E0C"/>
    <w:rsid w:val="0093772A"/>
    <w:rsid w:val="00937E80"/>
    <w:rsid w:val="009420E4"/>
    <w:rsid w:val="00944C6B"/>
    <w:rsid w:val="00945BE8"/>
    <w:rsid w:val="009476BA"/>
    <w:rsid w:val="00947FCB"/>
    <w:rsid w:val="00950365"/>
    <w:rsid w:val="009506DC"/>
    <w:rsid w:val="00954F4F"/>
    <w:rsid w:val="00955DE9"/>
    <w:rsid w:val="0095686E"/>
    <w:rsid w:val="0096037D"/>
    <w:rsid w:val="00960D4D"/>
    <w:rsid w:val="009660FF"/>
    <w:rsid w:val="00967C2C"/>
    <w:rsid w:val="0097131F"/>
    <w:rsid w:val="00971CB3"/>
    <w:rsid w:val="009734EF"/>
    <w:rsid w:val="00974EEA"/>
    <w:rsid w:val="009763E0"/>
    <w:rsid w:val="0098040A"/>
    <w:rsid w:val="00981198"/>
    <w:rsid w:val="00982E9A"/>
    <w:rsid w:val="00985042"/>
    <w:rsid w:val="009912B4"/>
    <w:rsid w:val="009918BD"/>
    <w:rsid w:val="00992BFE"/>
    <w:rsid w:val="00994C3B"/>
    <w:rsid w:val="00995D4D"/>
    <w:rsid w:val="009A0B6B"/>
    <w:rsid w:val="009A21B0"/>
    <w:rsid w:val="009A7535"/>
    <w:rsid w:val="009A7D24"/>
    <w:rsid w:val="009B1AAE"/>
    <w:rsid w:val="009B30CD"/>
    <w:rsid w:val="009B428D"/>
    <w:rsid w:val="009C65D0"/>
    <w:rsid w:val="009C689F"/>
    <w:rsid w:val="009D2548"/>
    <w:rsid w:val="009D4CF7"/>
    <w:rsid w:val="009D7BB0"/>
    <w:rsid w:val="009E1574"/>
    <w:rsid w:val="009E199C"/>
    <w:rsid w:val="009E633F"/>
    <w:rsid w:val="009E7BBF"/>
    <w:rsid w:val="009F08F2"/>
    <w:rsid w:val="009F1020"/>
    <w:rsid w:val="009F2B7C"/>
    <w:rsid w:val="009F2BE6"/>
    <w:rsid w:val="009F324E"/>
    <w:rsid w:val="009F39E0"/>
    <w:rsid w:val="009F500D"/>
    <w:rsid w:val="009F6408"/>
    <w:rsid w:val="00A00912"/>
    <w:rsid w:val="00A036E5"/>
    <w:rsid w:val="00A04CEB"/>
    <w:rsid w:val="00A06FAA"/>
    <w:rsid w:val="00A078E7"/>
    <w:rsid w:val="00A0793A"/>
    <w:rsid w:val="00A104A4"/>
    <w:rsid w:val="00A123EC"/>
    <w:rsid w:val="00A30746"/>
    <w:rsid w:val="00A33E29"/>
    <w:rsid w:val="00A36740"/>
    <w:rsid w:val="00A36F8D"/>
    <w:rsid w:val="00A37076"/>
    <w:rsid w:val="00A37D66"/>
    <w:rsid w:val="00A4051D"/>
    <w:rsid w:val="00A449FE"/>
    <w:rsid w:val="00A52860"/>
    <w:rsid w:val="00A579E0"/>
    <w:rsid w:val="00A60F22"/>
    <w:rsid w:val="00A624C8"/>
    <w:rsid w:val="00A62674"/>
    <w:rsid w:val="00A62C87"/>
    <w:rsid w:val="00A63F38"/>
    <w:rsid w:val="00A64553"/>
    <w:rsid w:val="00A64F5A"/>
    <w:rsid w:val="00A658E6"/>
    <w:rsid w:val="00A66503"/>
    <w:rsid w:val="00A66851"/>
    <w:rsid w:val="00A7226E"/>
    <w:rsid w:val="00A72627"/>
    <w:rsid w:val="00A75BF7"/>
    <w:rsid w:val="00A80B2F"/>
    <w:rsid w:val="00A8221E"/>
    <w:rsid w:val="00A82E4B"/>
    <w:rsid w:val="00A83750"/>
    <w:rsid w:val="00A85075"/>
    <w:rsid w:val="00A85831"/>
    <w:rsid w:val="00A86B64"/>
    <w:rsid w:val="00A871EC"/>
    <w:rsid w:val="00A9029F"/>
    <w:rsid w:val="00A911B3"/>
    <w:rsid w:val="00A91B48"/>
    <w:rsid w:val="00A924DB"/>
    <w:rsid w:val="00A93ADC"/>
    <w:rsid w:val="00A96B02"/>
    <w:rsid w:val="00AA0795"/>
    <w:rsid w:val="00AA1952"/>
    <w:rsid w:val="00AA1D03"/>
    <w:rsid w:val="00AA1FBE"/>
    <w:rsid w:val="00AA2F95"/>
    <w:rsid w:val="00AA6820"/>
    <w:rsid w:val="00AA7327"/>
    <w:rsid w:val="00AA7888"/>
    <w:rsid w:val="00AA7F43"/>
    <w:rsid w:val="00AB0582"/>
    <w:rsid w:val="00AB18DB"/>
    <w:rsid w:val="00AB33DC"/>
    <w:rsid w:val="00AB38BF"/>
    <w:rsid w:val="00AB44B3"/>
    <w:rsid w:val="00AB5B80"/>
    <w:rsid w:val="00AC0DB9"/>
    <w:rsid w:val="00AC0E7D"/>
    <w:rsid w:val="00AC1B4F"/>
    <w:rsid w:val="00AC3195"/>
    <w:rsid w:val="00AC3370"/>
    <w:rsid w:val="00AC50A9"/>
    <w:rsid w:val="00AC716E"/>
    <w:rsid w:val="00AD05A6"/>
    <w:rsid w:val="00AD5025"/>
    <w:rsid w:val="00AE057B"/>
    <w:rsid w:val="00AE3D24"/>
    <w:rsid w:val="00AE447E"/>
    <w:rsid w:val="00AE63F0"/>
    <w:rsid w:val="00AE64A2"/>
    <w:rsid w:val="00AF01FA"/>
    <w:rsid w:val="00AF421D"/>
    <w:rsid w:val="00AF65AE"/>
    <w:rsid w:val="00AF73FA"/>
    <w:rsid w:val="00B02D28"/>
    <w:rsid w:val="00B0301E"/>
    <w:rsid w:val="00B03530"/>
    <w:rsid w:val="00B0577A"/>
    <w:rsid w:val="00B10CF9"/>
    <w:rsid w:val="00B12272"/>
    <w:rsid w:val="00B131BA"/>
    <w:rsid w:val="00B159B3"/>
    <w:rsid w:val="00B241F4"/>
    <w:rsid w:val="00B31E0C"/>
    <w:rsid w:val="00B34834"/>
    <w:rsid w:val="00B44283"/>
    <w:rsid w:val="00B47246"/>
    <w:rsid w:val="00B4759B"/>
    <w:rsid w:val="00B51317"/>
    <w:rsid w:val="00B526E1"/>
    <w:rsid w:val="00B53604"/>
    <w:rsid w:val="00B54010"/>
    <w:rsid w:val="00B562DB"/>
    <w:rsid w:val="00B56DF4"/>
    <w:rsid w:val="00B62376"/>
    <w:rsid w:val="00B62856"/>
    <w:rsid w:val="00B63A09"/>
    <w:rsid w:val="00B63B6C"/>
    <w:rsid w:val="00B65D49"/>
    <w:rsid w:val="00B65F73"/>
    <w:rsid w:val="00B71354"/>
    <w:rsid w:val="00B71C9A"/>
    <w:rsid w:val="00B71D04"/>
    <w:rsid w:val="00B7440D"/>
    <w:rsid w:val="00B7645D"/>
    <w:rsid w:val="00B80FD9"/>
    <w:rsid w:val="00B83084"/>
    <w:rsid w:val="00B8658B"/>
    <w:rsid w:val="00B86FB1"/>
    <w:rsid w:val="00B94325"/>
    <w:rsid w:val="00B94860"/>
    <w:rsid w:val="00B97B4C"/>
    <w:rsid w:val="00BA4BC3"/>
    <w:rsid w:val="00BA638A"/>
    <w:rsid w:val="00BA6424"/>
    <w:rsid w:val="00BB019A"/>
    <w:rsid w:val="00BB17D2"/>
    <w:rsid w:val="00BB43EE"/>
    <w:rsid w:val="00BB6B7E"/>
    <w:rsid w:val="00BC1AF9"/>
    <w:rsid w:val="00BC2A4E"/>
    <w:rsid w:val="00BC3E3A"/>
    <w:rsid w:val="00BC582A"/>
    <w:rsid w:val="00BD31C9"/>
    <w:rsid w:val="00BD40EF"/>
    <w:rsid w:val="00BD449C"/>
    <w:rsid w:val="00BD5978"/>
    <w:rsid w:val="00BE188E"/>
    <w:rsid w:val="00BE2C85"/>
    <w:rsid w:val="00BE47BA"/>
    <w:rsid w:val="00BE4E69"/>
    <w:rsid w:val="00BE511B"/>
    <w:rsid w:val="00BE5C2E"/>
    <w:rsid w:val="00BE67DC"/>
    <w:rsid w:val="00BE73E5"/>
    <w:rsid w:val="00BE7454"/>
    <w:rsid w:val="00BF111F"/>
    <w:rsid w:val="00BF1862"/>
    <w:rsid w:val="00BF77D7"/>
    <w:rsid w:val="00C05439"/>
    <w:rsid w:val="00C108BB"/>
    <w:rsid w:val="00C126E1"/>
    <w:rsid w:val="00C13F23"/>
    <w:rsid w:val="00C1512B"/>
    <w:rsid w:val="00C1522E"/>
    <w:rsid w:val="00C1615F"/>
    <w:rsid w:val="00C173D4"/>
    <w:rsid w:val="00C17D9A"/>
    <w:rsid w:val="00C224A4"/>
    <w:rsid w:val="00C2323C"/>
    <w:rsid w:val="00C2377A"/>
    <w:rsid w:val="00C256F8"/>
    <w:rsid w:val="00C26878"/>
    <w:rsid w:val="00C26920"/>
    <w:rsid w:val="00C26E16"/>
    <w:rsid w:val="00C33FD4"/>
    <w:rsid w:val="00C35030"/>
    <w:rsid w:val="00C3650B"/>
    <w:rsid w:val="00C36B61"/>
    <w:rsid w:val="00C4064F"/>
    <w:rsid w:val="00C41C3A"/>
    <w:rsid w:val="00C43001"/>
    <w:rsid w:val="00C4327D"/>
    <w:rsid w:val="00C441CA"/>
    <w:rsid w:val="00C44BF1"/>
    <w:rsid w:val="00C46582"/>
    <w:rsid w:val="00C50368"/>
    <w:rsid w:val="00C600E8"/>
    <w:rsid w:val="00C6010C"/>
    <w:rsid w:val="00C60DE2"/>
    <w:rsid w:val="00C611FD"/>
    <w:rsid w:val="00C64999"/>
    <w:rsid w:val="00C65CE6"/>
    <w:rsid w:val="00C674AD"/>
    <w:rsid w:val="00C6753D"/>
    <w:rsid w:val="00C7090B"/>
    <w:rsid w:val="00C71C5F"/>
    <w:rsid w:val="00C73CEE"/>
    <w:rsid w:val="00C75EE8"/>
    <w:rsid w:val="00C76666"/>
    <w:rsid w:val="00C77182"/>
    <w:rsid w:val="00C80A27"/>
    <w:rsid w:val="00C811A2"/>
    <w:rsid w:val="00C82CF3"/>
    <w:rsid w:val="00C841A9"/>
    <w:rsid w:val="00C8544E"/>
    <w:rsid w:val="00C901CD"/>
    <w:rsid w:val="00C92CD2"/>
    <w:rsid w:val="00C95E78"/>
    <w:rsid w:val="00CA395D"/>
    <w:rsid w:val="00CA3BE7"/>
    <w:rsid w:val="00CA4702"/>
    <w:rsid w:val="00CA4D8B"/>
    <w:rsid w:val="00CA5BC9"/>
    <w:rsid w:val="00CA7925"/>
    <w:rsid w:val="00CB1CED"/>
    <w:rsid w:val="00CB7B8B"/>
    <w:rsid w:val="00CC1214"/>
    <w:rsid w:val="00CC1F88"/>
    <w:rsid w:val="00CC45CA"/>
    <w:rsid w:val="00CC4C3D"/>
    <w:rsid w:val="00CC4D67"/>
    <w:rsid w:val="00CC51EE"/>
    <w:rsid w:val="00CC731B"/>
    <w:rsid w:val="00CD0563"/>
    <w:rsid w:val="00CD11C3"/>
    <w:rsid w:val="00CD2794"/>
    <w:rsid w:val="00CD3CDD"/>
    <w:rsid w:val="00CD422C"/>
    <w:rsid w:val="00CD5198"/>
    <w:rsid w:val="00CD6849"/>
    <w:rsid w:val="00CE4D48"/>
    <w:rsid w:val="00CE7DDB"/>
    <w:rsid w:val="00CF18CF"/>
    <w:rsid w:val="00CF4416"/>
    <w:rsid w:val="00CF6458"/>
    <w:rsid w:val="00CF7495"/>
    <w:rsid w:val="00CF7DBB"/>
    <w:rsid w:val="00D01988"/>
    <w:rsid w:val="00D03A73"/>
    <w:rsid w:val="00D070CE"/>
    <w:rsid w:val="00D107F4"/>
    <w:rsid w:val="00D1132E"/>
    <w:rsid w:val="00D14C24"/>
    <w:rsid w:val="00D169F5"/>
    <w:rsid w:val="00D21C6E"/>
    <w:rsid w:val="00D24FB6"/>
    <w:rsid w:val="00D251CF"/>
    <w:rsid w:val="00D31364"/>
    <w:rsid w:val="00D3144F"/>
    <w:rsid w:val="00D339B8"/>
    <w:rsid w:val="00D33D9F"/>
    <w:rsid w:val="00D36104"/>
    <w:rsid w:val="00D36EDD"/>
    <w:rsid w:val="00D37EB2"/>
    <w:rsid w:val="00D42964"/>
    <w:rsid w:val="00D429F0"/>
    <w:rsid w:val="00D42C76"/>
    <w:rsid w:val="00D46359"/>
    <w:rsid w:val="00D56887"/>
    <w:rsid w:val="00D56CCB"/>
    <w:rsid w:val="00D61DFB"/>
    <w:rsid w:val="00D63252"/>
    <w:rsid w:val="00D6367B"/>
    <w:rsid w:val="00D66459"/>
    <w:rsid w:val="00D66AE3"/>
    <w:rsid w:val="00D66CB7"/>
    <w:rsid w:val="00D707A1"/>
    <w:rsid w:val="00D70834"/>
    <w:rsid w:val="00D71DE7"/>
    <w:rsid w:val="00D74D95"/>
    <w:rsid w:val="00D75904"/>
    <w:rsid w:val="00D7646D"/>
    <w:rsid w:val="00D777BE"/>
    <w:rsid w:val="00D77E0C"/>
    <w:rsid w:val="00D84C0F"/>
    <w:rsid w:val="00D859A2"/>
    <w:rsid w:val="00D86AF7"/>
    <w:rsid w:val="00D96082"/>
    <w:rsid w:val="00D96780"/>
    <w:rsid w:val="00DA1177"/>
    <w:rsid w:val="00DA167A"/>
    <w:rsid w:val="00DB0696"/>
    <w:rsid w:val="00DB1A35"/>
    <w:rsid w:val="00DB4921"/>
    <w:rsid w:val="00DB4BF9"/>
    <w:rsid w:val="00DD0C32"/>
    <w:rsid w:val="00DD3BEE"/>
    <w:rsid w:val="00DD4215"/>
    <w:rsid w:val="00DD5046"/>
    <w:rsid w:val="00DE12E1"/>
    <w:rsid w:val="00DF186F"/>
    <w:rsid w:val="00DF26AA"/>
    <w:rsid w:val="00E00744"/>
    <w:rsid w:val="00E01A7F"/>
    <w:rsid w:val="00E02316"/>
    <w:rsid w:val="00E0712A"/>
    <w:rsid w:val="00E1085F"/>
    <w:rsid w:val="00E10B3A"/>
    <w:rsid w:val="00E10D87"/>
    <w:rsid w:val="00E115F0"/>
    <w:rsid w:val="00E14102"/>
    <w:rsid w:val="00E14A06"/>
    <w:rsid w:val="00E15476"/>
    <w:rsid w:val="00E16932"/>
    <w:rsid w:val="00E22450"/>
    <w:rsid w:val="00E22457"/>
    <w:rsid w:val="00E22A25"/>
    <w:rsid w:val="00E230D2"/>
    <w:rsid w:val="00E26431"/>
    <w:rsid w:val="00E27842"/>
    <w:rsid w:val="00E30C94"/>
    <w:rsid w:val="00E36FD7"/>
    <w:rsid w:val="00E40485"/>
    <w:rsid w:val="00E409E7"/>
    <w:rsid w:val="00E46D20"/>
    <w:rsid w:val="00E51648"/>
    <w:rsid w:val="00E54857"/>
    <w:rsid w:val="00E576AE"/>
    <w:rsid w:val="00E62CBF"/>
    <w:rsid w:val="00E62F39"/>
    <w:rsid w:val="00E641B1"/>
    <w:rsid w:val="00E664FA"/>
    <w:rsid w:val="00E71BEC"/>
    <w:rsid w:val="00E72DA1"/>
    <w:rsid w:val="00E75311"/>
    <w:rsid w:val="00E77F8B"/>
    <w:rsid w:val="00E81153"/>
    <w:rsid w:val="00E8434E"/>
    <w:rsid w:val="00E91887"/>
    <w:rsid w:val="00E92A72"/>
    <w:rsid w:val="00E9455A"/>
    <w:rsid w:val="00E96175"/>
    <w:rsid w:val="00E9754E"/>
    <w:rsid w:val="00EA0126"/>
    <w:rsid w:val="00EA3328"/>
    <w:rsid w:val="00EA4742"/>
    <w:rsid w:val="00EA7583"/>
    <w:rsid w:val="00EB0086"/>
    <w:rsid w:val="00EB0D62"/>
    <w:rsid w:val="00EB29E8"/>
    <w:rsid w:val="00EB3B0D"/>
    <w:rsid w:val="00EB4908"/>
    <w:rsid w:val="00EB5767"/>
    <w:rsid w:val="00EB5844"/>
    <w:rsid w:val="00EB6692"/>
    <w:rsid w:val="00EC509E"/>
    <w:rsid w:val="00ED0137"/>
    <w:rsid w:val="00ED1274"/>
    <w:rsid w:val="00ED1427"/>
    <w:rsid w:val="00ED274A"/>
    <w:rsid w:val="00ED2BD8"/>
    <w:rsid w:val="00ED30FA"/>
    <w:rsid w:val="00ED64D8"/>
    <w:rsid w:val="00ED707F"/>
    <w:rsid w:val="00EE035E"/>
    <w:rsid w:val="00EE5AFC"/>
    <w:rsid w:val="00EE606F"/>
    <w:rsid w:val="00EE71F4"/>
    <w:rsid w:val="00EF2CCA"/>
    <w:rsid w:val="00EF453D"/>
    <w:rsid w:val="00EF6485"/>
    <w:rsid w:val="00EF6953"/>
    <w:rsid w:val="00EF78A6"/>
    <w:rsid w:val="00EF7FF4"/>
    <w:rsid w:val="00F01ED2"/>
    <w:rsid w:val="00F045F8"/>
    <w:rsid w:val="00F075BD"/>
    <w:rsid w:val="00F11A3C"/>
    <w:rsid w:val="00F11D25"/>
    <w:rsid w:val="00F14D59"/>
    <w:rsid w:val="00F15726"/>
    <w:rsid w:val="00F173B6"/>
    <w:rsid w:val="00F20267"/>
    <w:rsid w:val="00F22C79"/>
    <w:rsid w:val="00F23874"/>
    <w:rsid w:val="00F25BE4"/>
    <w:rsid w:val="00F27348"/>
    <w:rsid w:val="00F30C12"/>
    <w:rsid w:val="00F32294"/>
    <w:rsid w:val="00F35D5C"/>
    <w:rsid w:val="00F4261E"/>
    <w:rsid w:val="00F47690"/>
    <w:rsid w:val="00F47F9E"/>
    <w:rsid w:val="00F502A2"/>
    <w:rsid w:val="00F50670"/>
    <w:rsid w:val="00F5200D"/>
    <w:rsid w:val="00F52FA3"/>
    <w:rsid w:val="00F538F0"/>
    <w:rsid w:val="00F54994"/>
    <w:rsid w:val="00F57637"/>
    <w:rsid w:val="00F601E2"/>
    <w:rsid w:val="00F627AF"/>
    <w:rsid w:val="00F644CA"/>
    <w:rsid w:val="00F64664"/>
    <w:rsid w:val="00F64859"/>
    <w:rsid w:val="00F65DB1"/>
    <w:rsid w:val="00F70757"/>
    <w:rsid w:val="00F70B8A"/>
    <w:rsid w:val="00F739F6"/>
    <w:rsid w:val="00F76D3B"/>
    <w:rsid w:val="00F76D95"/>
    <w:rsid w:val="00F76E1F"/>
    <w:rsid w:val="00F80FF0"/>
    <w:rsid w:val="00F90AB2"/>
    <w:rsid w:val="00F92181"/>
    <w:rsid w:val="00F92194"/>
    <w:rsid w:val="00F92F9A"/>
    <w:rsid w:val="00F96EFD"/>
    <w:rsid w:val="00F97FEF"/>
    <w:rsid w:val="00FA1A28"/>
    <w:rsid w:val="00FA7445"/>
    <w:rsid w:val="00FA7724"/>
    <w:rsid w:val="00FB3629"/>
    <w:rsid w:val="00FB406F"/>
    <w:rsid w:val="00FB49BD"/>
    <w:rsid w:val="00FB579E"/>
    <w:rsid w:val="00FC22E7"/>
    <w:rsid w:val="00FC65C6"/>
    <w:rsid w:val="00FC67DD"/>
    <w:rsid w:val="00FD0321"/>
    <w:rsid w:val="00FD1655"/>
    <w:rsid w:val="00FD487F"/>
    <w:rsid w:val="00FD5F1E"/>
    <w:rsid w:val="00FD6931"/>
    <w:rsid w:val="00FE1DAE"/>
    <w:rsid w:val="00FF368B"/>
    <w:rsid w:val="00FF3801"/>
    <w:rsid w:val="00FF6988"/>
    <w:rsid w:val="32396F93"/>
    <w:rsid w:val="53CD79FA"/>
    <w:rsid w:val="60239A2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1A9C8"/>
  <w15:chartTrackingRefBased/>
  <w15:docId w15:val="{01389769-DDC9-467B-9DC4-EDA8BFFA0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themeColor="text1"/>
        <w:lang w:val="fr-BE" w:eastAsia="en-US" w:bidi="ar-SA"/>
      </w:rPr>
    </w:rPrDefault>
    <w:pPrDefault>
      <w:pPr>
        <w:spacing w:before="60" w:after="60" w:line="276" w:lineRule="auto"/>
        <w:ind w:hanging="36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locked="1" w:semiHidden="1" w:uiPriority="9" w:qFormat="1"/>
    <w:lsdException w:name="heading 8" w:locked="1" w:semiHidden="1" w:uiPriority="9" w:qFormat="1"/>
    <w:lsdException w:name="heading 9" w:locked="1"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locked="1" w:uiPriority="22"/>
    <w:lsdException w:name="Emphasis" w:uiPriority="1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32"/>
    <w:lsdException w:name="Intense Emphasis" w:uiPriority="13"/>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5025"/>
    <w:rPr>
      <w:lang w:eastAsia="nl-BE"/>
    </w:rPr>
  </w:style>
  <w:style w:type="paragraph" w:styleId="Kop1">
    <w:name w:val="heading 1"/>
    <w:basedOn w:val="Standaard"/>
    <w:next w:val="Standaard"/>
    <w:link w:val="Kop1Char"/>
    <w:uiPriority w:val="9"/>
    <w:qFormat/>
    <w:rsid w:val="00EB4908"/>
    <w:pPr>
      <w:numPr>
        <w:numId w:val="3"/>
      </w:numPr>
      <w:spacing w:before="360" w:after="0"/>
      <w:ind w:left="357" w:hanging="357"/>
      <w:contextualSpacing/>
      <w:outlineLvl w:val="0"/>
    </w:pPr>
    <w:rPr>
      <w:rFonts w:asciiTheme="majorHAnsi" w:hAnsiTheme="majorHAnsi" w:cs="Times New Roman"/>
      <w:b/>
      <w:caps/>
      <w:noProof/>
      <w:color w:val="5D9AA1" w:themeColor="text2"/>
      <w:sz w:val="28"/>
      <w:szCs w:val="50"/>
    </w:rPr>
  </w:style>
  <w:style w:type="paragraph" w:styleId="Kop2">
    <w:name w:val="heading 2"/>
    <w:basedOn w:val="Standaard"/>
    <w:next w:val="Standaard"/>
    <w:link w:val="Kop2Char"/>
    <w:uiPriority w:val="9"/>
    <w:qFormat/>
    <w:rsid w:val="00656D62"/>
    <w:pPr>
      <w:numPr>
        <w:numId w:val="4"/>
      </w:numPr>
      <w:spacing w:before="120" w:after="0"/>
      <w:ind w:left="357" w:hanging="357"/>
      <w:contextualSpacing/>
      <w:outlineLvl w:val="1"/>
    </w:pPr>
    <w:rPr>
      <w:rFonts w:asciiTheme="majorHAnsi" w:hAnsiTheme="majorHAnsi" w:cs="Times New Roman"/>
      <w:b/>
      <w:caps/>
      <w:color w:val="auto"/>
      <w:sz w:val="28"/>
      <w:szCs w:val="42"/>
    </w:rPr>
  </w:style>
  <w:style w:type="paragraph" w:styleId="Kop3">
    <w:name w:val="heading 3"/>
    <w:basedOn w:val="Standaard"/>
    <w:next w:val="Standaard"/>
    <w:link w:val="Kop3Char"/>
    <w:uiPriority w:val="9"/>
    <w:qFormat/>
    <w:rsid w:val="00EB4908"/>
    <w:pPr>
      <w:numPr>
        <w:numId w:val="5"/>
      </w:numPr>
      <w:spacing w:before="120" w:after="0"/>
      <w:ind w:left="357" w:hanging="357"/>
      <w:contextualSpacing/>
      <w:outlineLvl w:val="2"/>
    </w:pPr>
    <w:rPr>
      <w:rFonts w:asciiTheme="majorHAnsi" w:hAnsiTheme="majorHAnsi" w:cs="Times New Roman"/>
      <w:caps/>
      <w:color w:val="5D9AA1" w:themeColor="text2"/>
      <w:sz w:val="24"/>
      <w:szCs w:val="34"/>
    </w:rPr>
  </w:style>
  <w:style w:type="paragraph" w:styleId="Kop4">
    <w:name w:val="heading 4"/>
    <w:basedOn w:val="Standaard"/>
    <w:next w:val="Standaard"/>
    <w:link w:val="Kop4Char"/>
    <w:uiPriority w:val="9"/>
    <w:qFormat/>
    <w:rsid w:val="00EB4908"/>
    <w:pPr>
      <w:keepNext/>
      <w:keepLines/>
      <w:numPr>
        <w:numId w:val="6"/>
      </w:numPr>
      <w:spacing w:before="120" w:after="0"/>
      <w:ind w:left="357" w:hanging="357"/>
      <w:contextualSpacing/>
      <w:outlineLvl w:val="3"/>
    </w:pPr>
    <w:rPr>
      <w:rFonts w:asciiTheme="majorHAnsi" w:eastAsiaTheme="majorEastAsia" w:hAnsiTheme="majorHAnsi" w:cstheme="majorBidi"/>
      <w:bCs/>
      <w:iCs/>
      <w:caps/>
      <w:color w:val="auto"/>
      <w:sz w:val="24"/>
      <w:szCs w:val="28"/>
    </w:rPr>
  </w:style>
  <w:style w:type="paragraph" w:styleId="Kop5">
    <w:name w:val="heading 5"/>
    <w:basedOn w:val="Standaard"/>
    <w:next w:val="Standaard"/>
    <w:link w:val="Kop5Char"/>
    <w:uiPriority w:val="9"/>
    <w:rsid w:val="008557D4"/>
    <w:pPr>
      <w:keepNext/>
      <w:keepLines/>
      <w:spacing w:line="240" w:lineRule="auto"/>
      <w:outlineLvl w:val="4"/>
    </w:pPr>
    <w:rPr>
      <w:rFonts w:eastAsiaTheme="majorEastAsia" w:cstheme="majorBidi"/>
      <w:color w:val="8AB7BC" w:themeColor="background2"/>
      <w:sz w:val="28"/>
      <w:szCs w:val="28"/>
    </w:rPr>
  </w:style>
  <w:style w:type="paragraph" w:styleId="Kop6">
    <w:name w:val="heading 6"/>
    <w:basedOn w:val="Standaard"/>
    <w:next w:val="Standaard"/>
    <w:link w:val="Kop6Char"/>
    <w:uiPriority w:val="9"/>
    <w:rsid w:val="008557D4"/>
    <w:pPr>
      <w:outlineLvl w:val="5"/>
    </w:pPr>
    <w:rPr>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4908"/>
    <w:rPr>
      <w:rFonts w:asciiTheme="majorHAnsi" w:hAnsiTheme="majorHAnsi" w:cs="Times New Roman"/>
      <w:b/>
      <w:caps/>
      <w:noProof/>
      <w:color w:val="5D9AA1" w:themeColor="text2"/>
      <w:sz w:val="28"/>
      <w:szCs w:val="50"/>
      <w:lang w:eastAsia="nl-BE"/>
    </w:rPr>
  </w:style>
  <w:style w:type="character" w:customStyle="1" w:styleId="Kop2Char">
    <w:name w:val="Kop 2 Char"/>
    <w:basedOn w:val="Standaardalinea-lettertype"/>
    <w:link w:val="Kop2"/>
    <w:uiPriority w:val="9"/>
    <w:rsid w:val="00656D62"/>
    <w:rPr>
      <w:rFonts w:asciiTheme="majorHAnsi" w:hAnsiTheme="majorHAnsi" w:cs="Times New Roman"/>
      <w:b/>
      <w:caps/>
      <w:color w:val="auto"/>
      <w:sz w:val="28"/>
      <w:szCs w:val="42"/>
      <w:lang w:eastAsia="nl-BE"/>
    </w:rPr>
  </w:style>
  <w:style w:type="character" w:customStyle="1" w:styleId="Kop3Char">
    <w:name w:val="Kop 3 Char"/>
    <w:basedOn w:val="Standaardalinea-lettertype"/>
    <w:link w:val="Kop3"/>
    <w:uiPriority w:val="9"/>
    <w:rsid w:val="00EB4908"/>
    <w:rPr>
      <w:rFonts w:asciiTheme="majorHAnsi" w:hAnsiTheme="majorHAnsi" w:cs="Times New Roman"/>
      <w:caps/>
      <w:color w:val="5D9AA1" w:themeColor="text2"/>
      <w:sz w:val="24"/>
      <w:szCs w:val="34"/>
      <w:lang w:eastAsia="nl-BE"/>
    </w:rPr>
  </w:style>
  <w:style w:type="paragraph" w:styleId="Geenafstand">
    <w:name w:val="No Spacing"/>
    <w:link w:val="GeenafstandChar"/>
    <w:uiPriority w:val="1"/>
    <w:rsid w:val="008557D4"/>
    <w:pPr>
      <w:spacing w:before="0"/>
    </w:pPr>
    <w:rPr>
      <w:sz w:val="22"/>
      <w:szCs w:val="22"/>
    </w:rPr>
  </w:style>
  <w:style w:type="paragraph" w:styleId="Lijstalinea">
    <w:name w:val="List Paragraph"/>
    <w:basedOn w:val="Standaard"/>
    <w:uiPriority w:val="34"/>
    <w:rsid w:val="00580D24"/>
    <w:pPr>
      <w:contextualSpacing/>
    </w:pPr>
    <w:rPr>
      <w:rFonts w:asciiTheme="majorHAnsi" w:hAnsiTheme="majorHAnsi"/>
    </w:rPr>
  </w:style>
  <w:style w:type="character" w:styleId="Hyperlink">
    <w:name w:val="Hyperlink"/>
    <w:basedOn w:val="Standaardalinea-lettertype"/>
    <w:uiPriority w:val="99"/>
    <w:qFormat/>
    <w:rsid w:val="00582901"/>
    <w:rPr>
      <w:rFonts w:asciiTheme="minorHAnsi" w:hAnsiTheme="minorHAnsi"/>
      <w:b w:val="0"/>
      <w:i w:val="0"/>
      <w:color w:val="5D9AA1" w:themeColor="text2"/>
      <w:sz w:val="20"/>
      <w:u w:val="single" w:color="5D9AA1" w:themeColor="text2"/>
    </w:rPr>
  </w:style>
  <w:style w:type="paragraph" w:customStyle="1" w:styleId="Link">
    <w:name w:val="Link"/>
    <w:basedOn w:val="Geenafstand"/>
    <w:link w:val="LinkChar"/>
    <w:uiPriority w:val="29"/>
    <w:semiHidden/>
    <w:locked/>
    <w:rsid w:val="00D77E0C"/>
    <w:rPr>
      <w:szCs w:val="18"/>
      <w:u w:val="single" w:color="8AB7BC" w:themeColor="background2"/>
    </w:rPr>
  </w:style>
  <w:style w:type="character" w:customStyle="1" w:styleId="Kop4Char">
    <w:name w:val="Kop 4 Char"/>
    <w:basedOn w:val="Standaardalinea-lettertype"/>
    <w:link w:val="Kop4"/>
    <w:uiPriority w:val="9"/>
    <w:rsid w:val="00EB4908"/>
    <w:rPr>
      <w:rFonts w:asciiTheme="majorHAnsi" w:eastAsiaTheme="majorEastAsia" w:hAnsiTheme="majorHAnsi" w:cstheme="majorBidi"/>
      <w:bCs/>
      <w:iCs/>
      <w:caps/>
      <w:color w:val="auto"/>
      <w:sz w:val="24"/>
      <w:szCs w:val="28"/>
      <w:lang w:eastAsia="nl-BE"/>
    </w:rPr>
  </w:style>
  <w:style w:type="character" w:customStyle="1" w:styleId="GeenafstandChar">
    <w:name w:val="Geen afstand Char"/>
    <w:basedOn w:val="Standaardalinea-lettertype"/>
    <w:link w:val="Geenafstand"/>
    <w:uiPriority w:val="1"/>
    <w:rsid w:val="008557D4"/>
    <w:rPr>
      <w:sz w:val="22"/>
      <w:szCs w:val="22"/>
    </w:rPr>
  </w:style>
  <w:style w:type="character" w:customStyle="1" w:styleId="LinkChar">
    <w:name w:val="Link Char"/>
    <w:basedOn w:val="GeenafstandChar"/>
    <w:link w:val="Link"/>
    <w:uiPriority w:val="29"/>
    <w:semiHidden/>
    <w:rsid w:val="00D77E0C"/>
    <w:rPr>
      <w:sz w:val="22"/>
      <w:szCs w:val="18"/>
      <w:u w:val="single" w:color="8AB7BC" w:themeColor="background2"/>
    </w:rPr>
  </w:style>
  <w:style w:type="character" w:customStyle="1" w:styleId="Kop5Char">
    <w:name w:val="Kop 5 Char"/>
    <w:basedOn w:val="Standaardalinea-lettertype"/>
    <w:link w:val="Kop5"/>
    <w:uiPriority w:val="9"/>
    <w:rsid w:val="008557D4"/>
    <w:rPr>
      <w:rFonts w:eastAsiaTheme="majorEastAsia" w:cstheme="majorBidi"/>
      <w:color w:val="8AB7BC" w:themeColor="background2"/>
      <w:sz w:val="28"/>
      <w:szCs w:val="28"/>
    </w:rPr>
  </w:style>
  <w:style w:type="table" w:styleId="Tabelraster">
    <w:name w:val="Table Grid"/>
    <w:basedOn w:val="Standaardtabel"/>
    <w:uiPriority w:val="59"/>
    <w:rsid w:val="00D77E0C"/>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6">
    <w:name w:val="Light List Accent 6"/>
    <w:basedOn w:val="Standaardtabel"/>
    <w:uiPriority w:val="61"/>
    <w:rsid w:val="00D77E0C"/>
    <w:pPr>
      <w:spacing w:line="240" w:lineRule="auto"/>
    </w:pPr>
    <w:tblPr>
      <w:tblStyleRowBandSize w:val="1"/>
      <w:tblStyleColBandSize w:val="1"/>
      <w:tblBorders>
        <w:top w:val="single" w:sz="8" w:space="0" w:color="F05133" w:themeColor="accent6"/>
        <w:left w:val="single" w:sz="8" w:space="0" w:color="F05133" w:themeColor="accent6"/>
        <w:bottom w:val="single" w:sz="8" w:space="0" w:color="F05133" w:themeColor="accent6"/>
        <w:right w:val="single" w:sz="8" w:space="0" w:color="F05133" w:themeColor="accent6"/>
      </w:tblBorders>
    </w:tblPr>
    <w:tblStylePr w:type="firstRow">
      <w:pPr>
        <w:spacing w:before="0" w:after="0" w:line="240" w:lineRule="auto"/>
      </w:pPr>
      <w:rPr>
        <w:b/>
        <w:bCs/>
        <w:color w:val="FFFFFF" w:themeColor="background1"/>
      </w:rPr>
      <w:tblPr/>
      <w:tcPr>
        <w:shd w:val="clear" w:color="auto" w:fill="F05133" w:themeFill="accent6"/>
      </w:tcPr>
    </w:tblStylePr>
    <w:tblStylePr w:type="lastRow">
      <w:pPr>
        <w:spacing w:before="0" w:after="0" w:line="240" w:lineRule="auto"/>
      </w:pPr>
      <w:rPr>
        <w:b/>
        <w:bCs/>
      </w:rPr>
      <w:tblPr/>
      <w:tcPr>
        <w:tcBorders>
          <w:top w:val="double" w:sz="6" w:space="0" w:color="F05133" w:themeColor="accent6"/>
          <w:left w:val="single" w:sz="8" w:space="0" w:color="F05133" w:themeColor="accent6"/>
          <w:bottom w:val="single" w:sz="8" w:space="0" w:color="F05133" w:themeColor="accent6"/>
          <w:right w:val="single" w:sz="8" w:space="0" w:color="F05133" w:themeColor="accent6"/>
        </w:tcBorders>
      </w:tcPr>
    </w:tblStylePr>
    <w:tblStylePr w:type="firstCol">
      <w:rPr>
        <w:b/>
        <w:bCs/>
      </w:rPr>
    </w:tblStylePr>
    <w:tblStylePr w:type="lastCol">
      <w:rPr>
        <w:b/>
        <w:bCs/>
      </w:rPr>
    </w:tblStylePr>
    <w:tblStylePr w:type="band1Vert">
      <w:tblPr/>
      <w:tcPr>
        <w:tcBorders>
          <w:top w:val="single" w:sz="8" w:space="0" w:color="F05133" w:themeColor="accent6"/>
          <w:left w:val="single" w:sz="8" w:space="0" w:color="F05133" w:themeColor="accent6"/>
          <w:bottom w:val="single" w:sz="8" w:space="0" w:color="F05133" w:themeColor="accent6"/>
          <w:right w:val="single" w:sz="8" w:space="0" w:color="F05133" w:themeColor="accent6"/>
        </w:tcBorders>
      </w:tcPr>
    </w:tblStylePr>
    <w:tblStylePr w:type="band1Horz">
      <w:tblPr/>
      <w:tcPr>
        <w:tcBorders>
          <w:top w:val="single" w:sz="8" w:space="0" w:color="F05133" w:themeColor="accent6"/>
          <w:left w:val="single" w:sz="8" w:space="0" w:color="F05133" w:themeColor="accent6"/>
          <w:bottom w:val="single" w:sz="8" w:space="0" w:color="F05133" w:themeColor="accent6"/>
          <w:right w:val="single" w:sz="8" w:space="0" w:color="F05133" w:themeColor="accent6"/>
        </w:tcBorders>
      </w:tcPr>
    </w:tblStylePr>
  </w:style>
  <w:style w:type="paragraph" w:styleId="Kopvaninhoudsopgave">
    <w:name w:val="TOC Heading"/>
    <w:basedOn w:val="Kop1"/>
    <w:next w:val="Standaard"/>
    <w:uiPriority w:val="39"/>
    <w:semiHidden/>
    <w:unhideWhenUsed/>
    <w:qFormat/>
    <w:rsid w:val="00D77E0C"/>
    <w:pPr>
      <w:keepNext/>
      <w:keepLines/>
      <w:spacing w:before="480"/>
      <w:outlineLvl w:val="9"/>
    </w:pPr>
    <w:rPr>
      <w:rFonts w:eastAsiaTheme="majorEastAsia" w:cstheme="majorBidi"/>
      <w:b w:val="0"/>
      <w:bCs/>
      <w:noProof w:val="0"/>
      <w:color w:val="457278" w:themeColor="accent1" w:themeShade="BF"/>
    </w:rPr>
  </w:style>
  <w:style w:type="paragraph" w:styleId="Ballontekst">
    <w:name w:val="Balloon Text"/>
    <w:basedOn w:val="Standaard"/>
    <w:link w:val="BallontekstChar"/>
    <w:uiPriority w:val="99"/>
    <w:semiHidden/>
    <w:unhideWhenUsed/>
    <w:rsid w:val="00D77E0C"/>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77E0C"/>
    <w:rPr>
      <w:rFonts w:ascii="Tahoma" w:hAnsi="Tahoma" w:cs="Tahoma"/>
      <w:sz w:val="16"/>
      <w:szCs w:val="16"/>
    </w:rPr>
  </w:style>
  <w:style w:type="paragraph" w:styleId="Bijschrift">
    <w:name w:val="caption"/>
    <w:basedOn w:val="Standaard"/>
    <w:next w:val="Standaard"/>
    <w:link w:val="BijschriftChar"/>
    <w:uiPriority w:val="35"/>
    <w:rsid w:val="00AC3370"/>
    <w:pPr>
      <w:keepNext/>
      <w:spacing w:line="240" w:lineRule="auto"/>
    </w:pPr>
    <w:rPr>
      <w:bCs/>
      <w:i/>
    </w:rPr>
  </w:style>
  <w:style w:type="character" w:customStyle="1" w:styleId="Kop6Char">
    <w:name w:val="Kop 6 Char"/>
    <w:basedOn w:val="Standaardalinea-lettertype"/>
    <w:link w:val="Kop6"/>
    <w:uiPriority w:val="9"/>
    <w:rsid w:val="008557D4"/>
    <w:rPr>
      <w:sz w:val="28"/>
      <w:szCs w:val="28"/>
    </w:rPr>
  </w:style>
  <w:style w:type="paragraph" w:styleId="Koptekst">
    <w:name w:val="header"/>
    <w:basedOn w:val="Standaard"/>
    <w:link w:val="KoptekstChar"/>
    <w:uiPriority w:val="99"/>
    <w:unhideWhenUsed/>
    <w:rsid w:val="00351ED6"/>
    <w:pPr>
      <w:tabs>
        <w:tab w:val="center" w:pos="4536"/>
        <w:tab w:val="right" w:pos="9072"/>
      </w:tabs>
      <w:spacing w:before="0" w:line="240" w:lineRule="auto"/>
    </w:pPr>
  </w:style>
  <w:style w:type="character" w:styleId="Nadruk">
    <w:name w:val="Emphasis"/>
    <w:basedOn w:val="Standaardalinea-lettertype"/>
    <w:uiPriority w:val="12"/>
    <w:rsid w:val="00630509"/>
    <w:rPr>
      <w:color w:val="5D9AA1" w:themeColor="text2"/>
    </w:rPr>
  </w:style>
  <w:style w:type="character" w:customStyle="1" w:styleId="BijschriftChar">
    <w:name w:val="Bijschrift Char"/>
    <w:basedOn w:val="Standaardalinea-lettertype"/>
    <w:link w:val="Bijschrift"/>
    <w:uiPriority w:val="35"/>
    <w:rsid w:val="00AC3370"/>
    <w:rPr>
      <w:bCs/>
      <w:i/>
      <w:sz w:val="22"/>
      <w:szCs w:val="22"/>
    </w:rPr>
  </w:style>
  <w:style w:type="character" w:customStyle="1" w:styleId="KoptekstChar">
    <w:name w:val="Koptekst Char"/>
    <w:basedOn w:val="Standaardalinea-lettertype"/>
    <w:link w:val="Koptekst"/>
    <w:uiPriority w:val="99"/>
    <w:rsid w:val="00351ED6"/>
    <w:rPr>
      <w:sz w:val="22"/>
      <w:szCs w:val="22"/>
    </w:rPr>
  </w:style>
  <w:style w:type="paragraph" w:styleId="Titel">
    <w:name w:val="Title"/>
    <w:basedOn w:val="Standaard"/>
    <w:next w:val="Standaard"/>
    <w:link w:val="TitelChar"/>
    <w:uiPriority w:val="10"/>
    <w:qFormat/>
    <w:rsid w:val="00EB4908"/>
    <w:pPr>
      <w:spacing w:before="360" w:after="0"/>
    </w:pPr>
    <w:rPr>
      <w:rFonts w:asciiTheme="majorHAnsi" w:hAnsiTheme="majorHAnsi"/>
      <w:b/>
      <w:color w:val="5D9AA1" w:themeColor="text2"/>
      <w:sz w:val="36"/>
      <w:szCs w:val="56"/>
    </w:rPr>
  </w:style>
  <w:style w:type="character" w:customStyle="1" w:styleId="TitelChar">
    <w:name w:val="Titel Char"/>
    <w:basedOn w:val="Standaardalinea-lettertype"/>
    <w:link w:val="Titel"/>
    <w:uiPriority w:val="10"/>
    <w:rsid w:val="00EB4908"/>
    <w:rPr>
      <w:rFonts w:asciiTheme="majorHAnsi" w:hAnsiTheme="majorHAnsi"/>
      <w:b/>
      <w:color w:val="5D9AA1" w:themeColor="text2"/>
      <w:sz w:val="36"/>
      <w:szCs w:val="56"/>
      <w:lang w:eastAsia="nl-BE"/>
    </w:rPr>
  </w:style>
  <w:style w:type="character" w:styleId="Tekstvantijdelijkeaanduiding">
    <w:name w:val="Placeholder Text"/>
    <w:basedOn w:val="Standaardalinea-lettertype"/>
    <w:uiPriority w:val="99"/>
    <w:semiHidden/>
    <w:rsid w:val="00D77E0C"/>
    <w:rPr>
      <w:color w:val="808080"/>
    </w:rPr>
  </w:style>
  <w:style w:type="character" w:styleId="Intensievebenadrukking">
    <w:name w:val="Intense Emphasis"/>
    <w:basedOn w:val="Standaardalinea-lettertype"/>
    <w:uiPriority w:val="13"/>
    <w:rsid w:val="005E561B"/>
    <w:rPr>
      <w:i/>
      <w:iCs/>
      <w:color w:val="5D9AA1" w:themeColor="text2"/>
    </w:rPr>
  </w:style>
  <w:style w:type="character" w:styleId="Intensieveverwijzing">
    <w:name w:val="Intense Reference"/>
    <w:basedOn w:val="Standaardalinea-lettertype"/>
    <w:uiPriority w:val="32"/>
    <w:locked/>
    <w:rsid w:val="005E561B"/>
    <w:rPr>
      <w:b/>
      <w:bCs/>
      <w:smallCaps/>
      <w:color w:val="5D9AA1" w:themeColor="text2"/>
      <w:spacing w:val="5"/>
    </w:rPr>
  </w:style>
  <w:style w:type="paragraph" w:styleId="Voettekst">
    <w:name w:val="footer"/>
    <w:basedOn w:val="Standaard"/>
    <w:link w:val="VoettekstChar"/>
    <w:uiPriority w:val="99"/>
    <w:unhideWhenUsed/>
    <w:rsid w:val="00D77E0C"/>
    <w:pPr>
      <w:tabs>
        <w:tab w:val="center" w:pos="4536"/>
        <w:tab w:val="right" w:pos="9072"/>
      </w:tabs>
      <w:spacing w:before="0" w:line="240" w:lineRule="auto"/>
    </w:pPr>
    <w:rPr>
      <w:sz w:val="18"/>
    </w:rPr>
  </w:style>
  <w:style w:type="character" w:customStyle="1" w:styleId="VoettekstChar">
    <w:name w:val="Voettekst Char"/>
    <w:basedOn w:val="Standaardalinea-lettertype"/>
    <w:link w:val="Voettekst"/>
    <w:uiPriority w:val="99"/>
    <w:rsid w:val="00D77E0C"/>
    <w:rPr>
      <w:sz w:val="18"/>
    </w:rPr>
  </w:style>
  <w:style w:type="character" w:styleId="GevolgdeHyperlink">
    <w:name w:val="FollowedHyperlink"/>
    <w:basedOn w:val="Standaardalinea-lettertype"/>
    <w:uiPriority w:val="99"/>
    <w:semiHidden/>
    <w:unhideWhenUsed/>
    <w:rsid w:val="00D77E0C"/>
    <w:rPr>
      <w:color w:val="980069" w:themeColor="followedHyperlink"/>
      <w:u w:val="single"/>
    </w:rPr>
  </w:style>
  <w:style w:type="paragraph" w:styleId="Citaat">
    <w:name w:val="Quote"/>
    <w:basedOn w:val="Standaard"/>
    <w:next w:val="Standaard"/>
    <w:link w:val="CitaatChar"/>
    <w:uiPriority w:val="29"/>
    <w:rsid w:val="00D77E0C"/>
    <w:pPr>
      <w:ind w:left="726"/>
    </w:pPr>
    <w:rPr>
      <w:i/>
      <w:iCs/>
    </w:rPr>
  </w:style>
  <w:style w:type="character" w:customStyle="1" w:styleId="CitaatChar">
    <w:name w:val="Citaat Char"/>
    <w:basedOn w:val="Standaardalinea-lettertype"/>
    <w:link w:val="Citaat"/>
    <w:uiPriority w:val="29"/>
    <w:rsid w:val="00D77E0C"/>
    <w:rPr>
      <w:i/>
      <w:iCs/>
    </w:rPr>
  </w:style>
  <w:style w:type="numbering" w:customStyle="1" w:styleId="NIETGEBRUIKEN-OUDEOPSOMMING">
    <w:name w:val="NIET GEBRUIKEN - OUDE OPSOMMING"/>
    <w:uiPriority w:val="99"/>
    <w:locked/>
    <w:rsid w:val="00CC4D67"/>
    <w:pPr>
      <w:numPr>
        <w:numId w:val="2"/>
      </w:numPr>
    </w:pPr>
  </w:style>
  <w:style w:type="table" w:styleId="Lichtelijst-accent5">
    <w:name w:val="Light List Accent 5"/>
    <w:basedOn w:val="Standaardtabel"/>
    <w:uiPriority w:val="61"/>
    <w:rsid w:val="00D77E0C"/>
    <w:pPr>
      <w:spacing w:before="0" w:line="240" w:lineRule="auto"/>
    </w:pPr>
    <w:tblPr>
      <w:tblStyleRowBandSize w:val="1"/>
      <w:tblStyleColBandSize w:val="1"/>
      <w:tblBorders>
        <w:top w:val="single" w:sz="8" w:space="0" w:color="DE7C00" w:themeColor="accent5"/>
        <w:left w:val="single" w:sz="8" w:space="0" w:color="DE7C00" w:themeColor="accent5"/>
        <w:bottom w:val="single" w:sz="8" w:space="0" w:color="DE7C00" w:themeColor="accent5"/>
        <w:right w:val="single" w:sz="8" w:space="0" w:color="DE7C00" w:themeColor="accent5"/>
      </w:tblBorders>
    </w:tblPr>
    <w:tblStylePr w:type="firstRow">
      <w:pPr>
        <w:spacing w:before="0" w:after="0" w:line="240" w:lineRule="auto"/>
      </w:pPr>
      <w:rPr>
        <w:b/>
        <w:bCs/>
        <w:color w:val="FFFFFF" w:themeColor="background1"/>
      </w:rPr>
      <w:tblPr/>
      <w:tcPr>
        <w:shd w:val="clear" w:color="auto" w:fill="DE7C00" w:themeFill="accent5"/>
      </w:tcPr>
    </w:tblStylePr>
    <w:tblStylePr w:type="lastRow">
      <w:pPr>
        <w:spacing w:before="0" w:after="0" w:line="240" w:lineRule="auto"/>
      </w:pPr>
      <w:rPr>
        <w:b/>
        <w:bCs/>
      </w:rPr>
      <w:tblPr/>
      <w:tcPr>
        <w:tcBorders>
          <w:top w:val="double" w:sz="6" w:space="0" w:color="DE7C00" w:themeColor="accent5"/>
          <w:left w:val="single" w:sz="8" w:space="0" w:color="DE7C00" w:themeColor="accent5"/>
          <w:bottom w:val="single" w:sz="8" w:space="0" w:color="DE7C00" w:themeColor="accent5"/>
          <w:right w:val="single" w:sz="8" w:space="0" w:color="DE7C00" w:themeColor="accent5"/>
        </w:tcBorders>
      </w:tcPr>
    </w:tblStylePr>
    <w:tblStylePr w:type="firstCol">
      <w:rPr>
        <w:b/>
        <w:bCs/>
      </w:rPr>
    </w:tblStylePr>
    <w:tblStylePr w:type="lastCol">
      <w:rPr>
        <w:b/>
        <w:bCs/>
      </w:rPr>
    </w:tblStylePr>
    <w:tblStylePr w:type="band1Vert">
      <w:tblPr/>
      <w:tcPr>
        <w:tcBorders>
          <w:top w:val="single" w:sz="8" w:space="0" w:color="DE7C00" w:themeColor="accent5"/>
          <w:left w:val="single" w:sz="8" w:space="0" w:color="DE7C00" w:themeColor="accent5"/>
          <w:bottom w:val="single" w:sz="8" w:space="0" w:color="DE7C00" w:themeColor="accent5"/>
          <w:right w:val="single" w:sz="8" w:space="0" w:color="DE7C00" w:themeColor="accent5"/>
        </w:tcBorders>
      </w:tcPr>
    </w:tblStylePr>
    <w:tblStylePr w:type="band1Horz">
      <w:tblPr/>
      <w:tcPr>
        <w:tcBorders>
          <w:top w:val="single" w:sz="8" w:space="0" w:color="DE7C00" w:themeColor="accent5"/>
          <w:left w:val="single" w:sz="8" w:space="0" w:color="DE7C00" w:themeColor="accent5"/>
          <w:bottom w:val="single" w:sz="8" w:space="0" w:color="DE7C00" w:themeColor="accent5"/>
          <w:right w:val="single" w:sz="8" w:space="0" w:color="DE7C00" w:themeColor="accent5"/>
        </w:tcBorders>
      </w:tcPr>
    </w:tblStylePr>
  </w:style>
  <w:style w:type="table" w:styleId="Lichtelijst">
    <w:name w:val="Light List"/>
    <w:basedOn w:val="Standaardtabel"/>
    <w:uiPriority w:val="61"/>
    <w:rsid w:val="00D77E0C"/>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Kleurrijkelijst">
    <w:name w:val="Colorful List"/>
    <w:basedOn w:val="Standaardtabel"/>
    <w:uiPriority w:val="72"/>
    <w:rsid w:val="00D77E0C"/>
    <w:pPr>
      <w:spacing w:before="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29827" w:themeFill="accent2" w:themeFillShade="CC"/>
      </w:tcPr>
    </w:tblStylePr>
    <w:tblStylePr w:type="lastRow">
      <w:rPr>
        <w:b/>
        <w:bCs/>
        <w:color w:val="8298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Gemiddeldelijst1-accent6">
    <w:name w:val="Medium List 1 Accent 6"/>
    <w:aliases w:val="ISOPROC"/>
    <w:basedOn w:val="Standaardtabel"/>
    <w:uiPriority w:val="65"/>
    <w:rsid w:val="00D77E0C"/>
    <w:pPr>
      <w:spacing w:before="40" w:after="40" w:line="240" w:lineRule="auto"/>
    </w:pPr>
    <w:tblPr>
      <w:tblStyleRowBandSize w:val="1"/>
      <w:tblStyleColBandSize w:val="1"/>
      <w:tblInd w:w="57" w:type="dxa"/>
      <w:tblBorders>
        <w:top w:val="single" w:sz="48" w:space="0" w:color="FFFFFF" w:themeColor="background1"/>
        <w:bottom w:val="single" w:sz="8" w:space="0" w:color="F05133" w:themeColor="accent6"/>
      </w:tblBorders>
      <w:tblCellMar>
        <w:left w:w="57" w:type="dxa"/>
        <w:right w:w="0" w:type="dxa"/>
      </w:tblCellMar>
    </w:tblPr>
    <w:tcPr>
      <w:vAlign w:val="center"/>
    </w:tcPr>
    <w:tblStylePr w:type="firstRow">
      <w:pPr>
        <w:wordWrap/>
        <w:spacing w:beforeLines="0" w:beforeAutospacing="0" w:afterLines="0" w:afterAutospacing="0" w:line="23" w:lineRule="atLeast"/>
        <w:jc w:val="left"/>
      </w:pPr>
      <w:rPr>
        <w:rFonts w:asciiTheme="majorHAnsi" w:eastAsiaTheme="majorEastAsia" w:hAnsiTheme="majorHAnsi" w:cstheme="majorBidi"/>
        <w:color w:val="5D9AA1" w:themeColor="text2"/>
      </w:rPr>
      <w:tblPr/>
      <w:tcPr>
        <w:tcBorders>
          <w:top w:val="single" w:sz="48" w:space="0" w:color="FFFFFF" w:themeColor="background1"/>
          <w:bottom w:val="single" w:sz="8" w:space="0" w:color="F05133" w:themeColor="accent6"/>
        </w:tcBorders>
      </w:tcPr>
    </w:tblStylePr>
    <w:tblStylePr w:type="lastRow">
      <w:pPr>
        <w:jc w:val="left"/>
      </w:pPr>
      <w:rPr>
        <w:b/>
        <w:bCs/>
        <w:color w:val="5D9AA1" w:themeColor="text2"/>
      </w:rPr>
      <w:tblPr/>
      <w:tcPr>
        <w:tcBorders>
          <w:top w:val="single" w:sz="8" w:space="0" w:color="F05133" w:themeColor="accent6"/>
          <w:bottom w:val="single" w:sz="8" w:space="0" w:color="F05133" w:themeColor="accent6"/>
        </w:tcBorders>
      </w:tcPr>
    </w:tblStylePr>
    <w:tblStylePr w:type="firstCol">
      <w:pPr>
        <w:jc w:val="left"/>
      </w:pPr>
      <w:rPr>
        <w:b/>
        <w:bCs/>
      </w:rPr>
    </w:tblStylePr>
    <w:tblStylePr w:type="lastCol">
      <w:pPr>
        <w:jc w:val="left"/>
      </w:pPr>
      <w:rPr>
        <w:b/>
        <w:bCs/>
      </w:rPr>
      <w:tblPr/>
      <w:tcPr>
        <w:tcBorders>
          <w:top w:val="single" w:sz="48" w:space="0" w:color="FFFFFF" w:themeColor="background1"/>
          <w:bottom w:val="single" w:sz="8" w:space="0" w:color="F05133" w:themeColor="accent6"/>
        </w:tcBorders>
      </w:tcPr>
    </w:tblStylePr>
    <w:tblStylePr w:type="band1Vert">
      <w:tblPr/>
      <w:tcPr>
        <w:shd w:val="clear" w:color="auto" w:fill="FBD3CC" w:themeFill="accent6" w:themeFillTint="3F"/>
      </w:tcPr>
    </w:tblStylePr>
    <w:tblStylePr w:type="band1Horz">
      <w:pPr>
        <w:wordWrap/>
        <w:spacing w:beforeLines="0" w:beforeAutospacing="0" w:afterLines="0" w:afterAutospacing="0" w:line="23" w:lineRule="atLeast"/>
        <w:jc w:val="left"/>
      </w:pPr>
      <w:rPr>
        <w:rFonts w:asciiTheme="minorHAnsi" w:hAnsiTheme="minorHAnsi"/>
      </w:rPr>
      <w:tblPr/>
      <w:tcPr>
        <w:shd w:val="clear" w:color="auto" w:fill="FBD3CC" w:themeFill="accent6" w:themeFillTint="3F"/>
      </w:tcPr>
    </w:tblStylePr>
    <w:tblStylePr w:type="band2Horz">
      <w:pPr>
        <w:wordWrap/>
        <w:spacing w:beforeLines="20" w:beforeAutospacing="0" w:afterLines="0" w:afterAutospacing="0" w:line="23" w:lineRule="atLeast"/>
        <w:jc w:val="left"/>
      </w:pPr>
    </w:tblStylePr>
  </w:style>
  <w:style w:type="table" w:styleId="Lichtearcering-accent6">
    <w:name w:val="Light Shading Accent 6"/>
    <w:basedOn w:val="Standaardtabel"/>
    <w:uiPriority w:val="60"/>
    <w:rsid w:val="00D77E0C"/>
    <w:pPr>
      <w:spacing w:before="0" w:line="240" w:lineRule="auto"/>
    </w:pPr>
    <w:rPr>
      <w:color w:val="CA2C0F" w:themeColor="accent6" w:themeShade="BF"/>
    </w:rPr>
    <w:tblPr>
      <w:tblStyleRowBandSize w:val="1"/>
      <w:tblStyleColBandSize w:val="1"/>
      <w:tblBorders>
        <w:top w:val="single" w:sz="8" w:space="0" w:color="F05133" w:themeColor="accent6"/>
        <w:bottom w:val="single" w:sz="8" w:space="0" w:color="F05133" w:themeColor="accent6"/>
      </w:tblBorders>
    </w:tblPr>
    <w:tblStylePr w:type="firstRow">
      <w:pPr>
        <w:spacing w:before="0" w:after="0" w:line="240" w:lineRule="auto"/>
      </w:pPr>
      <w:rPr>
        <w:b/>
        <w:bCs/>
      </w:rPr>
      <w:tblPr/>
      <w:tcPr>
        <w:tcBorders>
          <w:top w:val="single" w:sz="8" w:space="0" w:color="F05133" w:themeColor="accent6"/>
          <w:left w:val="nil"/>
          <w:bottom w:val="single" w:sz="8" w:space="0" w:color="F05133" w:themeColor="accent6"/>
          <w:right w:val="nil"/>
          <w:insideH w:val="nil"/>
          <w:insideV w:val="nil"/>
        </w:tcBorders>
      </w:tcPr>
    </w:tblStylePr>
    <w:tblStylePr w:type="lastRow">
      <w:pPr>
        <w:spacing w:before="0" w:after="0" w:line="240" w:lineRule="auto"/>
      </w:pPr>
      <w:rPr>
        <w:b/>
        <w:bCs/>
      </w:rPr>
      <w:tblPr/>
      <w:tcPr>
        <w:tcBorders>
          <w:top w:val="single" w:sz="8" w:space="0" w:color="F05133" w:themeColor="accent6"/>
          <w:left w:val="nil"/>
          <w:bottom w:val="single" w:sz="8" w:space="0" w:color="F0513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C" w:themeFill="accent6" w:themeFillTint="3F"/>
      </w:tcPr>
    </w:tblStylePr>
    <w:tblStylePr w:type="band1Horz">
      <w:tblPr/>
      <w:tcPr>
        <w:tcBorders>
          <w:left w:val="nil"/>
          <w:right w:val="nil"/>
          <w:insideH w:val="nil"/>
          <w:insideV w:val="nil"/>
        </w:tcBorders>
        <w:shd w:val="clear" w:color="auto" w:fill="FBD3CC" w:themeFill="accent6" w:themeFillTint="3F"/>
      </w:tcPr>
    </w:tblStylePr>
  </w:style>
  <w:style w:type="table" w:styleId="Lichtearcering-accent5">
    <w:name w:val="Light Shading Accent 5"/>
    <w:basedOn w:val="Standaardtabel"/>
    <w:uiPriority w:val="60"/>
    <w:rsid w:val="00D77E0C"/>
    <w:pPr>
      <w:spacing w:before="0" w:line="240" w:lineRule="auto"/>
    </w:pPr>
    <w:rPr>
      <w:color w:val="A65C00" w:themeColor="accent5" w:themeShade="BF"/>
    </w:rPr>
    <w:tblPr>
      <w:tblStyleRowBandSize w:val="1"/>
      <w:tblStyleColBandSize w:val="1"/>
      <w:tblBorders>
        <w:top w:val="single" w:sz="8" w:space="0" w:color="DE7C00" w:themeColor="accent5"/>
        <w:bottom w:val="single" w:sz="8" w:space="0" w:color="DE7C00" w:themeColor="accent5"/>
      </w:tblBorders>
    </w:tblPr>
    <w:tblStylePr w:type="firstRow">
      <w:pPr>
        <w:spacing w:before="0" w:after="0" w:line="240" w:lineRule="auto"/>
      </w:pPr>
      <w:rPr>
        <w:b/>
        <w:bCs/>
      </w:rPr>
      <w:tblPr/>
      <w:tcPr>
        <w:tcBorders>
          <w:top w:val="single" w:sz="8" w:space="0" w:color="DE7C00" w:themeColor="accent5"/>
          <w:left w:val="nil"/>
          <w:bottom w:val="single" w:sz="8" w:space="0" w:color="DE7C00" w:themeColor="accent5"/>
          <w:right w:val="nil"/>
          <w:insideH w:val="nil"/>
          <w:insideV w:val="nil"/>
        </w:tcBorders>
      </w:tcPr>
    </w:tblStylePr>
    <w:tblStylePr w:type="lastRow">
      <w:pPr>
        <w:spacing w:before="0" w:after="0" w:line="240" w:lineRule="auto"/>
      </w:pPr>
      <w:rPr>
        <w:b/>
        <w:bCs/>
      </w:rPr>
      <w:tblPr/>
      <w:tcPr>
        <w:tcBorders>
          <w:top w:val="single" w:sz="8" w:space="0" w:color="DE7C00" w:themeColor="accent5"/>
          <w:left w:val="nil"/>
          <w:bottom w:val="single" w:sz="8" w:space="0" w:color="DE7C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B7" w:themeFill="accent5" w:themeFillTint="3F"/>
      </w:tcPr>
    </w:tblStylePr>
    <w:tblStylePr w:type="band1Horz">
      <w:tblPr/>
      <w:tcPr>
        <w:tcBorders>
          <w:left w:val="nil"/>
          <w:right w:val="nil"/>
          <w:insideH w:val="nil"/>
          <w:insideV w:val="nil"/>
        </w:tcBorders>
        <w:shd w:val="clear" w:color="auto" w:fill="FFDFB7" w:themeFill="accent5" w:themeFillTint="3F"/>
      </w:tcPr>
    </w:tblStylePr>
  </w:style>
  <w:style w:type="table" w:styleId="Lichtearcering-accent4">
    <w:name w:val="Light Shading Accent 4"/>
    <w:basedOn w:val="Standaardtabel"/>
    <w:uiPriority w:val="60"/>
    <w:rsid w:val="00D77E0C"/>
    <w:pPr>
      <w:spacing w:before="0" w:line="240" w:lineRule="auto"/>
    </w:pPr>
    <w:rPr>
      <w:color w:val="DA9E00" w:themeColor="accent4" w:themeShade="BF"/>
    </w:rPr>
    <w:tblPr>
      <w:tblStyleRowBandSize w:val="1"/>
      <w:tblStyleColBandSize w:val="1"/>
      <w:tblBorders>
        <w:top w:val="single" w:sz="8" w:space="0" w:color="FFC425" w:themeColor="accent4"/>
        <w:bottom w:val="single" w:sz="8" w:space="0" w:color="FFC425" w:themeColor="accent4"/>
      </w:tblBorders>
    </w:tblPr>
    <w:tblStylePr w:type="firstRow">
      <w:pPr>
        <w:spacing w:before="0" w:after="0" w:line="240" w:lineRule="auto"/>
      </w:pPr>
      <w:rPr>
        <w:b/>
        <w:bCs/>
      </w:rPr>
      <w:tblPr/>
      <w:tcPr>
        <w:tcBorders>
          <w:top w:val="single" w:sz="8" w:space="0" w:color="FFC425" w:themeColor="accent4"/>
          <w:left w:val="nil"/>
          <w:bottom w:val="single" w:sz="8" w:space="0" w:color="FFC425" w:themeColor="accent4"/>
          <w:right w:val="nil"/>
          <w:insideH w:val="nil"/>
          <w:insideV w:val="nil"/>
        </w:tcBorders>
      </w:tcPr>
    </w:tblStylePr>
    <w:tblStylePr w:type="lastRow">
      <w:pPr>
        <w:spacing w:before="0" w:after="0" w:line="240" w:lineRule="auto"/>
      </w:pPr>
      <w:rPr>
        <w:b/>
        <w:bCs/>
      </w:rPr>
      <w:tblPr/>
      <w:tcPr>
        <w:tcBorders>
          <w:top w:val="single" w:sz="8" w:space="0" w:color="FFC425" w:themeColor="accent4"/>
          <w:left w:val="nil"/>
          <w:bottom w:val="single" w:sz="8" w:space="0" w:color="FFC4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C9" w:themeFill="accent4" w:themeFillTint="3F"/>
      </w:tcPr>
    </w:tblStylePr>
    <w:tblStylePr w:type="band1Horz">
      <w:tblPr/>
      <w:tcPr>
        <w:tcBorders>
          <w:left w:val="nil"/>
          <w:right w:val="nil"/>
          <w:insideH w:val="nil"/>
          <w:insideV w:val="nil"/>
        </w:tcBorders>
        <w:shd w:val="clear" w:color="auto" w:fill="FFF0C9" w:themeFill="accent4" w:themeFillTint="3F"/>
      </w:tcPr>
    </w:tblStylePr>
  </w:style>
  <w:style w:type="table" w:styleId="Lichtearcering-accent3">
    <w:name w:val="Light Shading Accent 3"/>
    <w:basedOn w:val="Standaardtabel"/>
    <w:uiPriority w:val="60"/>
    <w:rsid w:val="00D77E0C"/>
    <w:pPr>
      <w:spacing w:before="0" w:line="240" w:lineRule="auto"/>
    </w:pPr>
    <w:rPr>
      <w:color w:val="71004E" w:themeColor="accent3" w:themeShade="BF"/>
    </w:rPr>
    <w:tblPr>
      <w:tblStyleRowBandSize w:val="1"/>
      <w:tblStyleColBandSize w:val="1"/>
      <w:tblBorders>
        <w:top w:val="single" w:sz="8" w:space="0" w:color="980069" w:themeColor="accent3"/>
        <w:bottom w:val="single" w:sz="8" w:space="0" w:color="980069" w:themeColor="accent3"/>
      </w:tblBorders>
    </w:tblPr>
    <w:tblStylePr w:type="firstRow">
      <w:pPr>
        <w:spacing w:before="0" w:after="0" w:line="240" w:lineRule="auto"/>
      </w:pPr>
      <w:rPr>
        <w:b/>
        <w:bCs/>
      </w:rPr>
      <w:tblPr/>
      <w:tcPr>
        <w:tcBorders>
          <w:top w:val="single" w:sz="8" w:space="0" w:color="980069" w:themeColor="accent3"/>
          <w:left w:val="nil"/>
          <w:bottom w:val="single" w:sz="8" w:space="0" w:color="980069" w:themeColor="accent3"/>
          <w:right w:val="nil"/>
          <w:insideH w:val="nil"/>
          <w:insideV w:val="nil"/>
        </w:tcBorders>
      </w:tcPr>
    </w:tblStylePr>
    <w:tblStylePr w:type="lastRow">
      <w:pPr>
        <w:spacing w:before="0" w:after="0" w:line="240" w:lineRule="auto"/>
      </w:pPr>
      <w:rPr>
        <w:b/>
        <w:bCs/>
      </w:rPr>
      <w:tblPr/>
      <w:tcPr>
        <w:tcBorders>
          <w:top w:val="single" w:sz="8" w:space="0" w:color="980069" w:themeColor="accent3"/>
          <w:left w:val="nil"/>
          <w:bottom w:val="single" w:sz="8" w:space="0" w:color="98006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E3" w:themeFill="accent3" w:themeFillTint="3F"/>
      </w:tcPr>
    </w:tblStylePr>
    <w:tblStylePr w:type="band1Horz">
      <w:tblPr/>
      <w:tcPr>
        <w:tcBorders>
          <w:left w:val="nil"/>
          <w:right w:val="nil"/>
          <w:insideH w:val="nil"/>
          <w:insideV w:val="nil"/>
        </w:tcBorders>
        <w:shd w:val="clear" w:color="auto" w:fill="FFA6E3" w:themeFill="accent3" w:themeFillTint="3F"/>
      </w:tcPr>
    </w:tblStylePr>
  </w:style>
  <w:style w:type="table" w:styleId="Gemiddeldelijst2-accent6">
    <w:name w:val="Medium List 2 Accent 6"/>
    <w:basedOn w:val="Standaardtabel"/>
    <w:uiPriority w:val="66"/>
    <w:rsid w:val="00D77E0C"/>
    <w:pPr>
      <w:spacing w:before="0" w:line="240" w:lineRule="auto"/>
    </w:pPr>
    <w:rPr>
      <w:rFonts w:asciiTheme="majorHAnsi" w:eastAsiaTheme="majorEastAsia" w:hAnsiTheme="majorHAnsi" w:cstheme="majorBidi"/>
    </w:rPr>
    <w:tblPr>
      <w:tblStyleRowBandSize w:val="1"/>
      <w:tblStyleColBandSize w:val="1"/>
      <w:tblBorders>
        <w:top w:val="single" w:sz="8" w:space="0" w:color="F05133" w:themeColor="accent6"/>
        <w:left w:val="single" w:sz="8" w:space="0" w:color="F05133" w:themeColor="accent6"/>
        <w:bottom w:val="single" w:sz="8" w:space="0" w:color="F05133" w:themeColor="accent6"/>
        <w:right w:val="single" w:sz="8" w:space="0" w:color="F05133" w:themeColor="accent6"/>
      </w:tblBorders>
    </w:tblPr>
    <w:tblStylePr w:type="firstRow">
      <w:rPr>
        <w:sz w:val="24"/>
        <w:szCs w:val="24"/>
      </w:rPr>
      <w:tblPr/>
      <w:tcPr>
        <w:tcBorders>
          <w:top w:val="nil"/>
          <w:left w:val="nil"/>
          <w:bottom w:val="single" w:sz="24" w:space="0" w:color="F05133" w:themeColor="accent6"/>
          <w:right w:val="nil"/>
          <w:insideH w:val="nil"/>
          <w:insideV w:val="nil"/>
        </w:tcBorders>
        <w:shd w:val="clear" w:color="auto" w:fill="FFFFFF" w:themeFill="background1"/>
      </w:tcPr>
    </w:tblStylePr>
    <w:tblStylePr w:type="lastRow">
      <w:tblPr/>
      <w:tcPr>
        <w:tcBorders>
          <w:top w:val="single" w:sz="8" w:space="0" w:color="F0513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5133" w:themeColor="accent6"/>
          <w:insideH w:val="nil"/>
          <w:insideV w:val="nil"/>
        </w:tcBorders>
        <w:shd w:val="clear" w:color="auto" w:fill="FFFFFF" w:themeFill="background1"/>
      </w:tcPr>
    </w:tblStylePr>
    <w:tblStylePr w:type="lastCol">
      <w:tblPr/>
      <w:tcPr>
        <w:tcBorders>
          <w:top w:val="nil"/>
          <w:left w:val="single" w:sz="8" w:space="0" w:color="F0513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C" w:themeFill="accent6" w:themeFillTint="3F"/>
      </w:tcPr>
    </w:tblStylePr>
    <w:tblStylePr w:type="band1Horz">
      <w:tblPr/>
      <w:tcPr>
        <w:tcBorders>
          <w:top w:val="nil"/>
          <w:bottom w:val="nil"/>
          <w:insideH w:val="nil"/>
          <w:insideV w:val="nil"/>
        </w:tcBorders>
        <w:shd w:val="clear" w:color="auto" w:fill="FBD3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elijst-accent4">
    <w:name w:val="Colorful List Accent 4"/>
    <w:basedOn w:val="Standaardtabel"/>
    <w:uiPriority w:val="72"/>
    <w:rsid w:val="00D77E0C"/>
    <w:pPr>
      <w:spacing w:before="0" w:line="240" w:lineRule="auto"/>
    </w:pPr>
    <w:tblPr>
      <w:tblStyleRowBandSize w:val="1"/>
      <w:tblStyleColBandSize w:val="1"/>
    </w:tblPr>
    <w:tcPr>
      <w:shd w:val="clear" w:color="auto" w:fill="FFF9E9" w:themeFill="accent4" w:themeFillTint="19"/>
    </w:tcPr>
    <w:tblStylePr w:type="firstRow">
      <w:rPr>
        <w:b/>
        <w:bCs/>
        <w:color w:val="FFFFFF" w:themeColor="background1"/>
      </w:rPr>
      <w:tblPr/>
      <w:tcPr>
        <w:tcBorders>
          <w:bottom w:val="single" w:sz="12" w:space="0" w:color="FFFFFF" w:themeColor="background1"/>
        </w:tcBorders>
        <w:shd w:val="clear" w:color="auto" w:fill="790053" w:themeFill="accent3" w:themeFillShade="CC"/>
      </w:tcPr>
    </w:tblStylePr>
    <w:tblStylePr w:type="lastRow">
      <w:rPr>
        <w:b/>
        <w:bCs/>
        <w:color w:val="79005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C9" w:themeFill="accent4" w:themeFillTint="3F"/>
      </w:tcPr>
    </w:tblStylePr>
    <w:tblStylePr w:type="band1Horz">
      <w:tblPr/>
      <w:tcPr>
        <w:shd w:val="clear" w:color="auto" w:fill="FFF3D3" w:themeFill="accent4" w:themeFillTint="33"/>
      </w:tcPr>
    </w:tblStylePr>
  </w:style>
  <w:style w:type="table" w:styleId="Kleurrijkelijst-accent2">
    <w:name w:val="Colorful List Accent 2"/>
    <w:basedOn w:val="Standaardtabel"/>
    <w:uiPriority w:val="72"/>
    <w:rsid w:val="00D77E0C"/>
    <w:pPr>
      <w:spacing w:before="0" w:line="240" w:lineRule="auto"/>
    </w:pPr>
    <w:tblPr>
      <w:tblStyleRowBandSize w:val="1"/>
      <w:tblStyleColBandSize w:val="1"/>
    </w:tblPr>
    <w:tcPr>
      <w:shd w:val="clear" w:color="auto" w:fill="F6F9E9" w:themeFill="accent2" w:themeFillTint="19"/>
    </w:tcPr>
    <w:tblStylePr w:type="firstRow">
      <w:rPr>
        <w:b/>
        <w:bCs/>
        <w:color w:val="FFFFFF" w:themeColor="background1"/>
      </w:rPr>
      <w:tblPr/>
      <w:tcPr>
        <w:tcBorders>
          <w:bottom w:val="single" w:sz="12" w:space="0" w:color="FFFFFF" w:themeColor="background1"/>
        </w:tcBorders>
        <w:shd w:val="clear" w:color="auto" w:fill="829827" w:themeFill="accent2" w:themeFillShade="CC"/>
      </w:tcPr>
    </w:tblStylePr>
    <w:tblStylePr w:type="lastRow">
      <w:rPr>
        <w:b/>
        <w:bCs/>
        <w:color w:val="8298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F1C9" w:themeFill="accent2" w:themeFillTint="3F"/>
      </w:tcPr>
    </w:tblStylePr>
    <w:tblStylePr w:type="band1Horz">
      <w:tblPr/>
      <w:tcPr>
        <w:shd w:val="clear" w:color="auto" w:fill="EDF4D4" w:themeFill="accent2" w:themeFillTint="33"/>
      </w:tcPr>
    </w:tblStylePr>
  </w:style>
  <w:style w:type="table" w:styleId="Kleurrijkelijst-accent3">
    <w:name w:val="Colorful List Accent 3"/>
    <w:basedOn w:val="Standaardtabel"/>
    <w:uiPriority w:val="72"/>
    <w:rsid w:val="00D77E0C"/>
    <w:pPr>
      <w:spacing w:before="0" w:line="240" w:lineRule="auto"/>
    </w:pPr>
    <w:tblPr>
      <w:tblStyleRowBandSize w:val="1"/>
      <w:tblStyleColBandSize w:val="1"/>
    </w:tblPr>
    <w:tcPr>
      <w:shd w:val="clear" w:color="auto" w:fill="FFDBF4" w:themeFill="accent3" w:themeFillTint="19"/>
    </w:tcPr>
    <w:tblStylePr w:type="firstRow">
      <w:rPr>
        <w:b/>
        <w:bCs/>
        <w:color w:val="FFFFFF" w:themeColor="background1"/>
      </w:rPr>
      <w:tblPr/>
      <w:tcPr>
        <w:tcBorders>
          <w:bottom w:val="single" w:sz="12" w:space="0" w:color="FFFFFF" w:themeColor="background1"/>
        </w:tcBorders>
        <w:shd w:val="clear" w:color="auto" w:fill="E9A900" w:themeFill="accent4" w:themeFillShade="CC"/>
      </w:tcPr>
    </w:tblStylePr>
    <w:tblStylePr w:type="lastRow">
      <w:rPr>
        <w:b/>
        <w:bCs/>
        <w:color w:val="E9A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E3" w:themeFill="accent3" w:themeFillTint="3F"/>
      </w:tcPr>
    </w:tblStylePr>
    <w:tblStylePr w:type="band1Horz">
      <w:tblPr/>
      <w:tcPr>
        <w:shd w:val="clear" w:color="auto" w:fill="FFB7E8" w:themeFill="accent3" w:themeFillTint="33"/>
      </w:tcPr>
    </w:tblStylePr>
  </w:style>
  <w:style w:type="table" w:styleId="Kleurrijkelijst-accent1">
    <w:name w:val="Colorful List Accent 1"/>
    <w:basedOn w:val="Standaardtabel"/>
    <w:uiPriority w:val="72"/>
    <w:rsid w:val="00D77E0C"/>
    <w:pPr>
      <w:spacing w:before="0" w:line="240" w:lineRule="auto"/>
    </w:pPr>
    <w:tblPr>
      <w:tblStyleRowBandSize w:val="1"/>
      <w:tblStyleColBandSize w:val="1"/>
    </w:tblPr>
    <w:tcPr>
      <w:shd w:val="clear" w:color="auto" w:fill="EEF5F5" w:themeFill="accent1" w:themeFillTint="19"/>
    </w:tcPr>
    <w:tblStylePr w:type="firstRow">
      <w:rPr>
        <w:b/>
        <w:bCs/>
        <w:color w:val="FFFFFF" w:themeColor="background1"/>
      </w:rPr>
      <w:tblPr/>
      <w:tcPr>
        <w:tcBorders>
          <w:bottom w:val="single" w:sz="12" w:space="0" w:color="FFFFFF" w:themeColor="background1"/>
        </w:tcBorders>
        <w:shd w:val="clear" w:color="auto" w:fill="829827" w:themeFill="accent2" w:themeFillShade="CC"/>
      </w:tcPr>
    </w:tblStylePr>
    <w:tblStylePr w:type="lastRow">
      <w:rPr>
        <w:b/>
        <w:bCs/>
        <w:color w:val="82982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E7" w:themeFill="accent1" w:themeFillTint="3F"/>
      </w:tcPr>
    </w:tblStylePr>
    <w:tblStylePr w:type="band1Horz">
      <w:tblPr/>
      <w:tcPr>
        <w:shd w:val="clear" w:color="auto" w:fill="DEEAEC" w:themeFill="accent1" w:themeFillTint="33"/>
      </w:tcPr>
    </w:tblStylePr>
  </w:style>
  <w:style w:type="table" w:styleId="Kleurrijkraster-accent1">
    <w:name w:val="Colorful Grid Accent 1"/>
    <w:basedOn w:val="Standaardtabel"/>
    <w:uiPriority w:val="73"/>
    <w:rsid w:val="00D77E0C"/>
    <w:pPr>
      <w:spacing w:before="0" w:line="240" w:lineRule="auto"/>
    </w:pPr>
    <w:tblPr>
      <w:tblStyleRowBandSize w:val="1"/>
      <w:tblStyleColBandSize w:val="1"/>
      <w:tblBorders>
        <w:insideH w:val="single" w:sz="4" w:space="0" w:color="FFFFFF" w:themeColor="background1"/>
      </w:tblBorders>
    </w:tblPr>
    <w:tcPr>
      <w:shd w:val="clear" w:color="auto" w:fill="DEEAEC" w:themeFill="accent1" w:themeFillTint="33"/>
    </w:tcPr>
    <w:tblStylePr w:type="firstRow">
      <w:rPr>
        <w:b/>
        <w:bCs/>
      </w:rPr>
      <w:tblPr/>
      <w:tcPr>
        <w:shd w:val="clear" w:color="auto" w:fill="BDD6D9" w:themeFill="accent1" w:themeFillTint="66"/>
      </w:tcPr>
    </w:tblStylePr>
    <w:tblStylePr w:type="lastRow">
      <w:rPr>
        <w:b/>
        <w:bCs/>
        <w:color w:val="000000" w:themeColor="text1"/>
      </w:rPr>
      <w:tblPr/>
      <w:tcPr>
        <w:shd w:val="clear" w:color="auto" w:fill="BDD6D9" w:themeFill="accent1" w:themeFillTint="66"/>
      </w:tcPr>
    </w:tblStylePr>
    <w:tblStylePr w:type="firstCol">
      <w:rPr>
        <w:color w:val="FFFFFF" w:themeColor="background1"/>
      </w:rPr>
      <w:tblPr/>
      <w:tcPr>
        <w:shd w:val="clear" w:color="auto" w:fill="457278" w:themeFill="accent1" w:themeFillShade="BF"/>
      </w:tcPr>
    </w:tblStylePr>
    <w:tblStylePr w:type="lastCol">
      <w:rPr>
        <w:color w:val="FFFFFF" w:themeColor="background1"/>
      </w:rPr>
      <w:tblPr/>
      <w:tcPr>
        <w:shd w:val="clear" w:color="auto" w:fill="457278" w:themeFill="accent1" w:themeFillShade="BF"/>
      </w:tcPr>
    </w:tblStylePr>
    <w:tblStylePr w:type="band1Vert">
      <w:tblPr/>
      <w:tcPr>
        <w:shd w:val="clear" w:color="auto" w:fill="AECCD0" w:themeFill="accent1" w:themeFillTint="7F"/>
      </w:tcPr>
    </w:tblStylePr>
    <w:tblStylePr w:type="band1Horz">
      <w:tblPr/>
      <w:tcPr>
        <w:shd w:val="clear" w:color="auto" w:fill="AECCD0" w:themeFill="accent1" w:themeFillTint="7F"/>
      </w:tcPr>
    </w:tblStylePr>
  </w:style>
  <w:style w:type="paragraph" w:styleId="Normaalweb">
    <w:name w:val="Normal (Web)"/>
    <w:basedOn w:val="Standaard"/>
    <w:uiPriority w:val="99"/>
    <w:semiHidden/>
    <w:unhideWhenUsed/>
    <w:rsid w:val="00D77E0C"/>
    <w:pPr>
      <w:spacing w:before="100" w:beforeAutospacing="1" w:after="100" w:afterAutospacing="1" w:line="240" w:lineRule="auto"/>
    </w:pPr>
    <w:rPr>
      <w:rFonts w:ascii="Times New Roman" w:eastAsia="Times New Roman" w:hAnsi="Times New Roman" w:cs="Times New Roman"/>
      <w:color w:val="auto"/>
      <w:sz w:val="24"/>
      <w:szCs w:val="24"/>
    </w:rPr>
  </w:style>
  <w:style w:type="numbering" w:customStyle="1" w:styleId="NIETGEBRUIKEN-OUDENUMMERING">
    <w:name w:val="NIET GEBRUIKEN - OUDE NUMMERING"/>
    <w:uiPriority w:val="99"/>
    <w:locked/>
    <w:rsid w:val="00F601E2"/>
    <w:pPr>
      <w:numPr>
        <w:numId w:val="1"/>
      </w:numPr>
    </w:pPr>
  </w:style>
  <w:style w:type="paragraph" w:styleId="Inhopg4">
    <w:name w:val="toc 4"/>
    <w:basedOn w:val="Standaard"/>
    <w:next w:val="Standaard"/>
    <w:autoRedefine/>
    <w:uiPriority w:val="39"/>
    <w:semiHidden/>
    <w:unhideWhenUsed/>
    <w:rsid w:val="00817F51"/>
    <w:pPr>
      <w:spacing w:before="0" w:after="100" w:afterAutospacing="1"/>
    </w:pPr>
  </w:style>
  <w:style w:type="paragraph" w:styleId="Inhopg5">
    <w:name w:val="toc 5"/>
    <w:basedOn w:val="Standaard"/>
    <w:next w:val="Standaard"/>
    <w:autoRedefine/>
    <w:uiPriority w:val="39"/>
    <w:semiHidden/>
    <w:unhideWhenUsed/>
    <w:rsid w:val="00817F51"/>
    <w:pPr>
      <w:spacing w:before="0"/>
    </w:pPr>
  </w:style>
  <w:style w:type="paragraph" w:styleId="Inhopg6">
    <w:name w:val="toc 6"/>
    <w:basedOn w:val="Standaard"/>
    <w:next w:val="Standaard"/>
    <w:autoRedefine/>
    <w:uiPriority w:val="39"/>
    <w:semiHidden/>
    <w:unhideWhenUsed/>
    <w:rsid w:val="00817F51"/>
    <w:pPr>
      <w:spacing w:before="0"/>
    </w:pPr>
  </w:style>
  <w:style w:type="character" w:styleId="Verwijzingopmerking">
    <w:name w:val="annotation reference"/>
    <w:basedOn w:val="Standaardalinea-lettertype"/>
    <w:uiPriority w:val="99"/>
    <w:semiHidden/>
    <w:unhideWhenUsed/>
    <w:rsid w:val="0044746D"/>
    <w:rPr>
      <w:sz w:val="16"/>
      <w:szCs w:val="16"/>
    </w:rPr>
  </w:style>
  <w:style w:type="paragraph" w:styleId="Tekstopmerking">
    <w:name w:val="annotation text"/>
    <w:basedOn w:val="Standaard"/>
    <w:link w:val="TekstopmerkingChar"/>
    <w:uiPriority w:val="99"/>
    <w:semiHidden/>
    <w:unhideWhenUsed/>
    <w:rsid w:val="0044746D"/>
    <w:pPr>
      <w:spacing w:line="240" w:lineRule="auto"/>
    </w:pPr>
  </w:style>
  <w:style w:type="character" w:customStyle="1" w:styleId="TekstopmerkingChar">
    <w:name w:val="Tekst opmerking Char"/>
    <w:basedOn w:val="Standaardalinea-lettertype"/>
    <w:link w:val="Tekstopmerking"/>
    <w:uiPriority w:val="99"/>
    <w:semiHidden/>
    <w:rsid w:val="0044746D"/>
  </w:style>
  <w:style w:type="paragraph" w:styleId="Onderwerpvanopmerking">
    <w:name w:val="annotation subject"/>
    <w:basedOn w:val="Tekstopmerking"/>
    <w:next w:val="Tekstopmerking"/>
    <w:link w:val="OnderwerpvanopmerkingChar"/>
    <w:uiPriority w:val="99"/>
    <w:semiHidden/>
    <w:unhideWhenUsed/>
    <w:rsid w:val="0044746D"/>
    <w:rPr>
      <w:b/>
      <w:bCs/>
    </w:rPr>
  </w:style>
  <w:style w:type="character" w:customStyle="1" w:styleId="OnderwerpvanopmerkingChar">
    <w:name w:val="Onderwerp van opmerking Char"/>
    <w:basedOn w:val="TekstopmerkingChar"/>
    <w:link w:val="Onderwerpvanopmerking"/>
    <w:uiPriority w:val="99"/>
    <w:semiHidden/>
    <w:rsid w:val="0044746D"/>
    <w:rPr>
      <w:b/>
      <w:bCs/>
    </w:rPr>
  </w:style>
  <w:style w:type="paragraph" w:styleId="Voetnoottekst">
    <w:name w:val="footnote text"/>
    <w:basedOn w:val="Standaard"/>
    <w:link w:val="VoetnoottekstChar"/>
    <w:uiPriority w:val="99"/>
    <w:unhideWhenUsed/>
    <w:rsid w:val="00345839"/>
    <w:pPr>
      <w:spacing w:before="0" w:line="240" w:lineRule="auto"/>
    </w:pPr>
  </w:style>
  <w:style w:type="character" w:customStyle="1" w:styleId="VoetnoottekstChar">
    <w:name w:val="Voetnoottekst Char"/>
    <w:basedOn w:val="Standaardalinea-lettertype"/>
    <w:link w:val="Voetnoottekst"/>
    <w:uiPriority w:val="99"/>
    <w:rsid w:val="00345839"/>
  </w:style>
  <w:style w:type="character" w:styleId="Voetnootmarkering">
    <w:name w:val="footnote reference"/>
    <w:basedOn w:val="Standaardalinea-lettertype"/>
    <w:uiPriority w:val="99"/>
    <w:semiHidden/>
    <w:unhideWhenUsed/>
    <w:rsid w:val="00011DBD"/>
    <w:rPr>
      <w:vertAlign w:val="superscript"/>
    </w:rPr>
  </w:style>
  <w:style w:type="paragraph" w:styleId="Bibliografie">
    <w:name w:val="Bibliography"/>
    <w:basedOn w:val="Standaard"/>
    <w:next w:val="Standaard"/>
    <w:uiPriority w:val="37"/>
    <w:unhideWhenUsed/>
    <w:rsid w:val="00011DBD"/>
  </w:style>
  <w:style w:type="table" w:styleId="Tabelrasterlicht">
    <w:name w:val="Grid Table Light"/>
    <w:basedOn w:val="Standaardtabel"/>
    <w:uiPriority w:val="40"/>
    <w:rsid w:val="009F2B7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uidelijkcitaat">
    <w:name w:val="Intense Quote"/>
    <w:basedOn w:val="Standaard"/>
    <w:next w:val="Standaard"/>
    <w:link w:val="DuidelijkcitaatChar"/>
    <w:uiPriority w:val="30"/>
    <w:locked/>
    <w:rsid w:val="00630509"/>
    <w:pPr>
      <w:pBdr>
        <w:top w:val="single" w:sz="4" w:space="10" w:color="5D9AA1" w:themeColor="text2"/>
        <w:bottom w:val="single" w:sz="4" w:space="10" w:color="5D9AA1" w:themeColor="text2"/>
      </w:pBdr>
      <w:spacing w:before="360" w:after="360"/>
      <w:ind w:left="864" w:right="864"/>
      <w:jc w:val="center"/>
    </w:pPr>
    <w:rPr>
      <w:i/>
      <w:iCs/>
      <w:color w:val="5D9AA1" w:themeColor="text2"/>
    </w:rPr>
  </w:style>
  <w:style w:type="character" w:customStyle="1" w:styleId="DuidelijkcitaatChar">
    <w:name w:val="Duidelijk citaat Char"/>
    <w:basedOn w:val="Standaardalinea-lettertype"/>
    <w:link w:val="Duidelijkcitaat"/>
    <w:uiPriority w:val="30"/>
    <w:rsid w:val="00630509"/>
    <w:rPr>
      <w:i/>
      <w:iCs/>
      <w:color w:val="5D9AA1" w:themeColor="text2"/>
      <w:sz w:val="22"/>
      <w:szCs w:val="22"/>
    </w:rPr>
  </w:style>
  <w:style w:type="table" w:styleId="Onopgemaaktetabel1">
    <w:name w:val="Plain Table 1"/>
    <w:basedOn w:val="Standaardtabel"/>
    <w:uiPriority w:val="41"/>
    <w:rsid w:val="00A3674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oofdtekst-2019">
    <w:name w:val="Hoofdtekst - 2019"/>
    <w:basedOn w:val="Standaard"/>
    <w:next w:val="Standaard"/>
    <w:link w:val="Hoofdtekst-2019Char"/>
    <w:autoRedefine/>
    <w:qFormat/>
    <w:rsid w:val="00B159B3"/>
    <w:pPr>
      <w:tabs>
        <w:tab w:val="left" w:pos="1440"/>
      </w:tabs>
      <w:ind w:left="357" w:firstLine="0"/>
    </w:pPr>
    <w:rPr>
      <w:lang w:val="nl-NL"/>
    </w:rPr>
  </w:style>
  <w:style w:type="character" w:customStyle="1" w:styleId="Hoofdtekst-2019Char">
    <w:name w:val="Hoofdtekst - 2019 Char"/>
    <w:basedOn w:val="Standaardalinea-lettertype"/>
    <w:link w:val="Hoofdtekst-2019"/>
    <w:rsid w:val="00B159B3"/>
    <w:rPr>
      <w:lang w:val="nl-NL" w:eastAsia="nl-BE"/>
    </w:rPr>
  </w:style>
  <w:style w:type="paragraph" w:styleId="Ondertitel">
    <w:name w:val="Subtitle"/>
    <w:basedOn w:val="Titel"/>
    <w:next w:val="Standaard"/>
    <w:link w:val="OndertitelChar"/>
    <w:uiPriority w:val="11"/>
    <w:qFormat/>
    <w:rsid w:val="004F5245"/>
    <w:pPr>
      <w:numPr>
        <w:ilvl w:val="1"/>
      </w:numPr>
      <w:spacing w:before="120"/>
      <w:ind w:hanging="363"/>
    </w:pPr>
    <w:rPr>
      <w:rFonts w:eastAsiaTheme="minorEastAsia"/>
      <w:color w:val="auto"/>
      <w:spacing w:val="15"/>
      <w:sz w:val="32"/>
      <w:szCs w:val="22"/>
    </w:rPr>
  </w:style>
  <w:style w:type="character" w:customStyle="1" w:styleId="OndertitelChar">
    <w:name w:val="Ondertitel Char"/>
    <w:basedOn w:val="Standaardalinea-lettertype"/>
    <w:link w:val="Ondertitel"/>
    <w:uiPriority w:val="11"/>
    <w:rsid w:val="004F5245"/>
    <w:rPr>
      <w:rFonts w:asciiTheme="majorHAnsi" w:eastAsiaTheme="minorEastAsia" w:hAnsiTheme="majorHAnsi"/>
      <w:b/>
      <w:color w:val="auto"/>
      <w:spacing w:val="15"/>
      <w:sz w:val="32"/>
      <w:szCs w:val="22"/>
      <w:lang w:eastAsia="nl-BE"/>
    </w:rPr>
  </w:style>
  <w:style w:type="numbering" w:customStyle="1" w:styleId="ISOPROC-2019-opsomming-ongenummerd">
    <w:name w:val="ISOPROC-2019-opsomming-ongenummerd"/>
    <w:uiPriority w:val="99"/>
    <w:rsid w:val="004776EB"/>
    <w:pPr>
      <w:numPr>
        <w:numId w:val="7"/>
      </w:numPr>
    </w:pPr>
  </w:style>
  <w:style w:type="numbering" w:customStyle="1" w:styleId="ISOPROC-2019-opsomming-genummerd-2">
    <w:name w:val="ISOPROC-2019-opsomming-genummerd-2"/>
    <w:uiPriority w:val="99"/>
    <w:rsid w:val="004776EB"/>
    <w:pPr>
      <w:numPr>
        <w:numId w:val="8"/>
      </w:numPr>
    </w:pPr>
  </w:style>
  <w:style w:type="table" w:customStyle="1" w:styleId="ISOPROC-2019-tabelraster-kleur">
    <w:name w:val="ISOPROC-2019-tabelraster-kleur"/>
    <w:basedOn w:val="ISOPROC-2019-tabelraster-grijs"/>
    <w:uiPriority w:val="99"/>
    <w:rsid w:val="00E10D87"/>
    <w:tblPr>
      <w:tblBorders>
        <w:top w:val="single" w:sz="12" w:space="0" w:color="5D9AA1" w:themeColor="text2"/>
        <w:left w:val="single" w:sz="12" w:space="0" w:color="5D9AA1" w:themeColor="text2"/>
        <w:bottom w:val="single" w:sz="12" w:space="0" w:color="5D9AA1" w:themeColor="text2"/>
        <w:right w:val="single" w:sz="12" w:space="0" w:color="5D9AA1" w:themeColor="text2"/>
        <w:insideH w:val="single" w:sz="6" w:space="0" w:color="5D9AA1" w:themeColor="text2"/>
        <w:insideV w:val="single" w:sz="6" w:space="0" w:color="5D9AA1" w:themeColor="text2"/>
      </w:tblBorders>
    </w:tblPr>
    <w:tcPr>
      <w:shd w:val="clear" w:color="auto" w:fill="auto"/>
    </w:tcPr>
    <w:tblStylePr w:type="firstRow">
      <w:rPr>
        <w:rFonts w:asciiTheme="minorHAnsi" w:hAnsiTheme="minorHAnsi"/>
        <w:b/>
        <w:color w:val="FFFFFF" w:themeColor="background1"/>
        <w:sz w:val="20"/>
      </w:rPr>
      <w:tblPr/>
      <w:tcPr>
        <w:tcBorders>
          <w:top w:val="single" w:sz="12" w:space="0" w:color="5D9AA1" w:themeColor="text2"/>
          <w:left w:val="single" w:sz="12" w:space="0" w:color="5D9AA1" w:themeColor="text2"/>
          <w:bottom w:val="single" w:sz="12" w:space="0" w:color="5D9AA1" w:themeColor="text2"/>
          <w:right w:val="single" w:sz="12" w:space="0" w:color="5D9AA1" w:themeColor="text2"/>
          <w:insideH w:val="single" w:sz="6" w:space="0" w:color="FFFFFF" w:themeColor="background1"/>
          <w:insideV w:val="single" w:sz="6" w:space="0" w:color="FFFFFF" w:themeColor="background1"/>
          <w:tl2br w:val="nil"/>
          <w:tr2bl w:val="nil"/>
        </w:tcBorders>
        <w:shd w:val="clear" w:color="auto" w:fill="5D9AA1" w:themeFill="text2"/>
      </w:tcPr>
    </w:tblStylePr>
  </w:style>
  <w:style w:type="table" w:customStyle="1" w:styleId="ISOPROC-2019-tabel-noline">
    <w:name w:val="ISOPROC-2019-tabel-noline"/>
    <w:basedOn w:val="Standaardtabel"/>
    <w:uiPriority w:val="99"/>
    <w:rsid w:val="00E10D87"/>
    <w:pPr>
      <w:spacing w:before="0" w:line="240" w:lineRule="auto"/>
    </w:pPr>
    <w:tblPr>
      <w:tblInd w:w="357" w:type="dxa"/>
    </w:tblPr>
  </w:style>
  <w:style w:type="table" w:customStyle="1" w:styleId="ISOPROC-2019-tabelraster-grijs">
    <w:name w:val="ISOPROC-2019-tabelraster-grijs"/>
    <w:basedOn w:val="Standaardtabel"/>
    <w:uiPriority w:val="99"/>
    <w:rsid w:val="00E10D87"/>
    <w:pPr>
      <w:spacing w:before="0" w:line="240" w:lineRule="auto"/>
    </w:pPr>
    <w:tblPr>
      <w:tblInd w:w="357" w:type="dxa"/>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6" w:space="0" w:color="A6A6A6" w:themeColor="background1" w:themeShade="A6"/>
        <w:insideV w:val="single" w:sz="6" w:space="0" w:color="A6A6A6" w:themeColor="background1" w:themeShade="A6"/>
      </w:tblBorders>
    </w:tblPr>
  </w:style>
  <w:style w:type="paragraph" w:customStyle="1" w:styleId="Fix-standaard">
    <w:name w:val="Fix-standaard"/>
    <w:link w:val="Fix-standaardChar"/>
    <w:qFormat/>
    <w:rsid w:val="004A5802"/>
    <w:pPr>
      <w:ind w:left="357"/>
    </w:pPr>
    <w:rPr>
      <w:rFonts w:ascii="Verdana" w:hAnsi="Verdana"/>
      <w:lang w:val="nl-NL" w:eastAsia="nl-BE"/>
    </w:rPr>
  </w:style>
  <w:style w:type="character" w:customStyle="1" w:styleId="Fix-standaardChar">
    <w:name w:val="Fix-standaard Char"/>
    <w:basedOn w:val="Standaardalinea-lettertype"/>
    <w:link w:val="Fix-standaard"/>
    <w:rsid w:val="004A5802"/>
    <w:rPr>
      <w:rFonts w:ascii="Verdana" w:hAnsi="Verdana"/>
      <w:lang w:val="nl-NL" w:eastAsia="nl-BE"/>
    </w:rPr>
  </w:style>
  <w:style w:type="character" w:styleId="Onopgelostemelding">
    <w:name w:val="Unresolved Mention"/>
    <w:basedOn w:val="Standaardalinea-lettertype"/>
    <w:uiPriority w:val="99"/>
    <w:semiHidden/>
    <w:unhideWhenUsed/>
    <w:rsid w:val="00982E9A"/>
    <w:rPr>
      <w:color w:val="605E5C"/>
      <w:shd w:val="clear" w:color="auto" w:fill="E1DFDD"/>
    </w:rPr>
  </w:style>
  <w:style w:type="character" w:customStyle="1" w:styleId="normaltextrun1">
    <w:name w:val="normaltextrun1"/>
    <w:basedOn w:val="Standaardalinea-lettertype"/>
    <w:rsid w:val="006529B1"/>
  </w:style>
  <w:style w:type="paragraph" w:customStyle="1" w:styleId="paragraph">
    <w:name w:val="paragraph"/>
    <w:basedOn w:val="Standaard"/>
    <w:rsid w:val="00CA395D"/>
    <w:pPr>
      <w:spacing w:before="0" w:after="0" w:line="240" w:lineRule="auto"/>
    </w:pPr>
    <w:rPr>
      <w:rFonts w:ascii="Times New Roman" w:eastAsia="Times New Roman" w:hAnsi="Times New Roman" w:cs="Times New Roman"/>
      <w:color w:val="auto"/>
      <w:sz w:val="24"/>
      <w:szCs w:val="24"/>
    </w:rPr>
  </w:style>
  <w:style w:type="character" w:customStyle="1" w:styleId="eop">
    <w:name w:val="eop"/>
    <w:basedOn w:val="Standaardalinea-lettertype"/>
    <w:rsid w:val="00CA395D"/>
  </w:style>
  <w:style w:type="character" w:customStyle="1" w:styleId="contextualspellingandgrammarerror">
    <w:name w:val="contextualspellingandgrammarerror"/>
    <w:basedOn w:val="Standaardalinea-lettertype"/>
    <w:rsid w:val="001A7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8691">
      <w:bodyDiv w:val="1"/>
      <w:marLeft w:val="0"/>
      <w:marRight w:val="0"/>
      <w:marTop w:val="0"/>
      <w:marBottom w:val="0"/>
      <w:divBdr>
        <w:top w:val="none" w:sz="0" w:space="0" w:color="auto"/>
        <w:left w:val="none" w:sz="0" w:space="0" w:color="auto"/>
        <w:bottom w:val="none" w:sz="0" w:space="0" w:color="auto"/>
        <w:right w:val="none" w:sz="0" w:space="0" w:color="auto"/>
      </w:divBdr>
    </w:div>
    <w:div w:id="2703766">
      <w:bodyDiv w:val="1"/>
      <w:marLeft w:val="0"/>
      <w:marRight w:val="0"/>
      <w:marTop w:val="0"/>
      <w:marBottom w:val="0"/>
      <w:divBdr>
        <w:top w:val="none" w:sz="0" w:space="0" w:color="auto"/>
        <w:left w:val="none" w:sz="0" w:space="0" w:color="auto"/>
        <w:bottom w:val="none" w:sz="0" w:space="0" w:color="auto"/>
        <w:right w:val="none" w:sz="0" w:space="0" w:color="auto"/>
      </w:divBdr>
    </w:div>
    <w:div w:id="7752865">
      <w:bodyDiv w:val="1"/>
      <w:marLeft w:val="0"/>
      <w:marRight w:val="0"/>
      <w:marTop w:val="0"/>
      <w:marBottom w:val="0"/>
      <w:divBdr>
        <w:top w:val="none" w:sz="0" w:space="0" w:color="auto"/>
        <w:left w:val="none" w:sz="0" w:space="0" w:color="auto"/>
        <w:bottom w:val="none" w:sz="0" w:space="0" w:color="auto"/>
        <w:right w:val="none" w:sz="0" w:space="0" w:color="auto"/>
      </w:divBdr>
    </w:div>
    <w:div w:id="12537992">
      <w:bodyDiv w:val="1"/>
      <w:marLeft w:val="0"/>
      <w:marRight w:val="0"/>
      <w:marTop w:val="0"/>
      <w:marBottom w:val="0"/>
      <w:divBdr>
        <w:top w:val="none" w:sz="0" w:space="0" w:color="auto"/>
        <w:left w:val="none" w:sz="0" w:space="0" w:color="auto"/>
        <w:bottom w:val="none" w:sz="0" w:space="0" w:color="auto"/>
        <w:right w:val="none" w:sz="0" w:space="0" w:color="auto"/>
      </w:divBdr>
    </w:div>
    <w:div w:id="16390579">
      <w:bodyDiv w:val="1"/>
      <w:marLeft w:val="0"/>
      <w:marRight w:val="0"/>
      <w:marTop w:val="0"/>
      <w:marBottom w:val="0"/>
      <w:divBdr>
        <w:top w:val="none" w:sz="0" w:space="0" w:color="auto"/>
        <w:left w:val="none" w:sz="0" w:space="0" w:color="auto"/>
        <w:bottom w:val="none" w:sz="0" w:space="0" w:color="auto"/>
        <w:right w:val="none" w:sz="0" w:space="0" w:color="auto"/>
      </w:divBdr>
    </w:div>
    <w:div w:id="17239491">
      <w:bodyDiv w:val="1"/>
      <w:marLeft w:val="0"/>
      <w:marRight w:val="0"/>
      <w:marTop w:val="0"/>
      <w:marBottom w:val="0"/>
      <w:divBdr>
        <w:top w:val="none" w:sz="0" w:space="0" w:color="auto"/>
        <w:left w:val="none" w:sz="0" w:space="0" w:color="auto"/>
        <w:bottom w:val="none" w:sz="0" w:space="0" w:color="auto"/>
        <w:right w:val="none" w:sz="0" w:space="0" w:color="auto"/>
      </w:divBdr>
    </w:div>
    <w:div w:id="18628105">
      <w:bodyDiv w:val="1"/>
      <w:marLeft w:val="0"/>
      <w:marRight w:val="0"/>
      <w:marTop w:val="0"/>
      <w:marBottom w:val="0"/>
      <w:divBdr>
        <w:top w:val="none" w:sz="0" w:space="0" w:color="auto"/>
        <w:left w:val="none" w:sz="0" w:space="0" w:color="auto"/>
        <w:bottom w:val="none" w:sz="0" w:space="0" w:color="auto"/>
        <w:right w:val="none" w:sz="0" w:space="0" w:color="auto"/>
      </w:divBdr>
    </w:div>
    <w:div w:id="25639225">
      <w:bodyDiv w:val="1"/>
      <w:marLeft w:val="0"/>
      <w:marRight w:val="0"/>
      <w:marTop w:val="0"/>
      <w:marBottom w:val="0"/>
      <w:divBdr>
        <w:top w:val="none" w:sz="0" w:space="0" w:color="auto"/>
        <w:left w:val="none" w:sz="0" w:space="0" w:color="auto"/>
        <w:bottom w:val="none" w:sz="0" w:space="0" w:color="auto"/>
        <w:right w:val="none" w:sz="0" w:space="0" w:color="auto"/>
      </w:divBdr>
    </w:div>
    <w:div w:id="29648328">
      <w:bodyDiv w:val="1"/>
      <w:marLeft w:val="0"/>
      <w:marRight w:val="0"/>
      <w:marTop w:val="0"/>
      <w:marBottom w:val="0"/>
      <w:divBdr>
        <w:top w:val="none" w:sz="0" w:space="0" w:color="auto"/>
        <w:left w:val="none" w:sz="0" w:space="0" w:color="auto"/>
        <w:bottom w:val="none" w:sz="0" w:space="0" w:color="auto"/>
        <w:right w:val="none" w:sz="0" w:space="0" w:color="auto"/>
      </w:divBdr>
    </w:div>
    <w:div w:id="32970153">
      <w:bodyDiv w:val="1"/>
      <w:marLeft w:val="0"/>
      <w:marRight w:val="0"/>
      <w:marTop w:val="0"/>
      <w:marBottom w:val="0"/>
      <w:divBdr>
        <w:top w:val="none" w:sz="0" w:space="0" w:color="auto"/>
        <w:left w:val="none" w:sz="0" w:space="0" w:color="auto"/>
        <w:bottom w:val="none" w:sz="0" w:space="0" w:color="auto"/>
        <w:right w:val="none" w:sz="0" w:space="0" w:color="auto"/>
      </w:divBdr>
    </w:div>
    <w:div w:id="46686821">
      <w:bodyDiv w:val="1"/>
      <w:marLeft w:val="0"/>
      <w:marRight w:val="0"/>
      <w:marTop w:val="0"/>
      <w:marBottom w:val="0"/>
      <w:divBdr>
        <w:top w:val="none" w:sz="0" w:space="0" w:color="auto"/>
        <w:left w:val="none" w:sz="0" w:space="0" w:color="auto"/>
        <w:bottom w:val="none" w:sz="0" w:space="0" w:color="auto"/>
        <w:right w:val="none" w:sz="0" w:space="0" w:color="auto"/>
      </w:divBdr>
    </w:div>
    <w:div w:id="52582888">
      <w:bodyDiv w:val="1"/>
      <w:marLeft w:val="0"/>
      <w:marRight w:val="0"/>
      <w:marTop w:val="0"/>
      <w:marBottom w:val="0"/>
      <w:divBdr>
        <w:top w:val="none" w:sz="0" w:space="0" w:color="auto"/>
        <w:left w:val="none" w:sz="0" w:space="0" w:color="auto"/>
        <w:bottom w:val="none" w:sz="0" w:space="0" w:color="auto"/>
        <w:right w:val="none" w:sz="0" w:space="0" w:color="auto"/>
      </w:divBdr>
    </w:div>
    <w:div w:id="54476362">
      <w:bodyDiv w:val="1"/>
      <w:marLeft w:val="0"/>
      <w:marRight w:val="0"/>
      <w:marTop w:val="0"/>
      <w:marBottom w:val="0"/>
      <w:divBdr>
        <w:top w:val="none" w:sz="0" w:space="0" w:color="auto"/>
        <w:left w:val="none" w:sz="0" w:space="0" w:color="auto"/>
        <w:bottom w:val="none" w:sz="0" w:space="0" w:color="auto"/>
        <w:right w:val="none" w:sz="0" w:space="0" w:color="auto"/>
      </w:divBdr>
    </w:div>
    <w:div w:id="60837901">
      <w:bodyDiv w:val="1"/>
      <w:marLeft w:val="0"/>
      <w:marRight w:val="0"/>
      <w:marTop w:val="0"/>
      <w:marBottom w:val="0"/>
      <w:divBdr>
        <w:top w:val="none" w:sz="0" w:space="0" w:color="auto"/>
        <w:left w:val="none" w:sz="0" w:space="0" w:color="auto"/>
        <w:bottom w:val="none" w:sz="0" w:space="0" w:color="auto"/>
        <w:right w:val="none" w:sz="0" w:space="0" w:color="auto"/>
      </w:divBdr>
    </w:div>
    <w:div w:id="69272968">
      <w:bodyDiv w:val="1"/>
      <w:marLeft w:val="0"/>
      <w:marRight w:val="0"/>
      <w:marTop w:val="0"/>
      <w:marBottom w:val="0"/>
      <w:divBdr>
        <w:top w:val="none" w:sz="0" w:space="0" w:color="auto"/>
        <w:left w:val="none" w:sz="0" w:space="0" w:color="auto"/>
        <w:bottom w:val="none" w:sz="0" w:space="0" w:color="auto"/>
        <w:right w:val="none" w:sz="0" w:space="0" w:color="auto"/>
      </w:divBdr>
    </w:div>
    <w:div w:id="76363885">
      <w:bodyDiv w:val="1"/>
      <w:marLeft w:val="0"/>
      <w:marRight w:val="0"/>
      <w:marTop w:val="0"/>
      <w:marBottom w:val="0"/>
      <w:divBdr>
        <w:top w:val="none" w:sz="0" w:space="0" w:color="auto"/>
        <w:left w:val="none" w:sz="0" w:space="0" w:color="auto"/>
        <w:bottom w:val="none" w:sz="0" w:space="0" w:color="auto"/>
        <w:right w:val="none" w:sz="0" w:space="0" w:color="auto"/>
      </w:divBdr>
    </w:div>
    <w:div w:id="78065746">
      <w:bodyDiv w:val="1"/>
      <w:marLeft w:val="0"/>
      <w:marRight w:val="0"/>
      <w:marTop w:val="0"/>
      <w:marBottom w:val="0"/>
      <w:divBdr>
        <w:top w:val="none" w:sz="0" w:space="0" w:color="auto"/>
        <w:left w:val="none" w:sz="0" w:space="0" w:color="auto"/>
        <w:bottom w:val="none" w:sz="0" w:space="0" w:color="auto"/>
        <w:right w:val="none" w:sz="0" w:space="0" w:color="auto"/>
      </w:divBdr>
    </w:div>
    <w:div w:id="84306168">
      <w:bodyDiv w:val="1"/>
      <w:marLeft w:val="0"/>
      <w:marRight w:val="0"/>
      <w:marTop w:val="0"/>
      <w:marBottom w:val="0"/>
      <w:divBdr>
        <w:top w:val="none" w:sz="0" w:space="0" w:color="auto"/>
        <w:left w:val="none" w:sz="0" w:space="0" w:color="auto"/>
        <w:bottom w:val="none" w:sz="0" w:space="0" w:color="auto"/>
        <w:right w:val="none" w:sz="0" w:space="0" w:color="auto"/>
      </w:divBdr>
    </w:div>
    <w:div w:id="86269107">
      <w:bodyDiv w:val="1"/>
      <w:marLeft w:val="0"/>
      <w:marRight w:val="0"/>
      <w:marTop w:val="0"/>
      <w:marBottom w:val="0"/>
      <w:divBdr>
        <w:top w:val="none" w:sz="0" w:space="0" w:color="auto"/>
        <w:left w:val="none" w:sz="0" w:space="0" w:color="auto"/>
        <w:bottom w:val="none" w:sz="0" w:space="0" w:color="auto"/>
        <w:right w:val="none" w:sz="0" w:space="0" w:color="auto"/>
      </w:divBdr>
    </w:div>
    <w:div w:id="86581524">
      <w:bodyDiv w:val="1"/>
      <w:marLeft w:val="0"/>
      <w:marRight w:val="0"/>
      <w:marTop w:val="0"/>
      <w:marBottom w:val="0"/>
      <w:divBdr>
        <w:top w:val="none" w:sz="0" w:space="0" w:color="auto"/>
        <w:left w:val="none" w:sz="0" w:space="0" w:color="auto"/>
        <w:bottom w:val="none" w:sz="0" w:space="0" w:color="auto"/>
        <w:right w:val="none" w:sz="0" w:space="0" w:color="auto"/>
      </w:divBdr>
    </w:div>
    <w:div w:id="98379952">
      <w:bodyDiv w:val="1"/>
      <w:marLeft w:val="0"/>
      <w:marRight w:val="0"/>
      <w:marTop w:val="0"/>
      <w:marBottom w:val="0"/>
      <w:divBdr>
        <w:top w:val="none" w:sz="0" w:space="0" w:color="auto"/>
        <w:left w:val="none" w:sz="0" w:space="0" w:color="auto"/>
        <w:bottom w:val="none" w:sz="0" w:space="0" w:color="auto"/>
        <w:right w:val="none" w:sz="0" w:space="0" w:color="auto"/>
      </w:divBdr>
    </w:div>
    <w:div w:id="101726111">
      <w:bodyDiv w:val="1"/>
      <w:marLeft w:val="0"/>
      <w:marRight w:val="0"/>
      <w:marTop w:val="0"/>
      <w:marBottom w:val="0"/>
      <w:divBdr>
        <w:top w:val="none" w:sz="0" w:space="0" w:color="auto"/>
        <w:left w:val="none" w:sz="0" w:space="0" w:color="auto"/>
        <w:bottom w:val="none" w:sz="0" w:space="0" w:color="auto"/>
        <w:right w:val="none" w:sz="0" w:space="0" w:color="auto"/>
      </w:divBdr>
    </w:div>
    <w:div w:id="107627492">
      <w:bodyDiv w:val="1"/>
      <w:marLeft w:val="0"/>
      <w:marRight w:val="0"/>
      <w:marTop w:val="0"/>
      <w:marBottom w:val="0"/>
      <w:divBdr>
        <w:top w:val="none" w:sz="0" w:space="0" w:color="auto"/>
        <w:left w:val="none" w:sz="0" w:space="0" w:color="auto"/>
        <w:bottom w:val="none" w:sz="0" w:space="0" w:color="auto"/>
        <w:right w:val="none" w:sz="0" w:space="0" w:color="auto"/>
      </w:divBdr>
    </w:div>
    <w:div w:id="110125410">
      <w:bodyDiv w:val="1"/>
      <w:marLeft w:val="0"/>
      <w:marRight w:val="0"/>
      <w:marTop w:val="0"/>
      <w:marBottom w:val="0"/>
      <w:divBdr>
        <w:top w:val="none" w:sz="0" w:space="0" w:color="auto"/>
        <w:left w:val="none" w:sz="0" w:space="0" w:color="auto"/>
        <w:bottom w:val="none" w:sz="0" w:space="0" w:color="auto"/>
        <w:right w:val="none" w:sz="0" w:space="0" w:color="auto"/>
      </w:divBdr>
    </w:div>
    <w:div w:id="111291346">
      <w:bodyDiv w:val="1"/>
      <w:marLeft w:val="0"/>
      <w:marRight w:val="0"/>
      <w:marTop w:val="0"/>
      <w:marBottom w:val="0"/>
      <w:divBdr>
        <w:top w:val="none" w:sz="0" w:space="0" w:color="auto"/>
        <w:left w:val="none" w:sz="0" w:space="0" w:color="auto"/>
        <w:bottom w:val="none" w:sz="0" w:space="0" w:color="auto"/>
        <w:right w:val="none" w:sz="0" w:space="0" w:color="auto"/>
      </w:divBdr>
    </w:div>
    <w:div w:id="111679014">
      <w:bodyDiv w:val="1"/>
      <w:marLeft w:val="0"/>
      <w:marRight w:val="0"/>
      <w:marTop w:val="0"/>
      <w:marBottom w:val="0"/>
      <w:divBdr>
        <w:top w:val="none" w:sz="0" w:space="0" w:color="auto"/>
        <w:left w:val="none" w:sz="0" w:space="0" w:color="auto"/>
        <w:bottom w:val="none" w:sz="0" w:space="0" w:color="auto"/>
        <w:right w:val="none" w:sz="0" w:space="0" w:color="auto"/>
      </w:divBdr>
    </w:div>
    <w:div w:id="122231700">
      <w:bodyDiv w:val="1"/>
      <w:marLeft w:val="0"/>
      <w:marRight w:val="0"/>
      <w:marTop w:val="0"/>
      <w:marBottom w:val="0"/>
      <w:divBdr>
        <w:top w:val="none" w:sz="0" w:space="0" w:color="auto"/>
        <w:left w:val="none" w:sz="0" w:space="0" w:color="auto"/>
        <w:bottom w:val="none" w:sz="0" w:space="0" w:color="auto"/>
        <w:right w:val="none" w:sz="0" w:space="0" w:color="auto"/>
      </w:divBdr>
    </w:div>
    <w:div w:id="126508265">
      <w:bodyDiv w:val="1"/>
      <w:marLeft w:val="0"/>
      <w:marRight w:val="0"/>
      <w:marTop w:val="0"/>
      <w:marBottom w:val="0"/>
      <w:divBdr>
        <w:top w:val="none" w:sz="0" w:space="0" w:color="auto"/>
        <w:left w:val="none" w:sz="0" w:space="0" w:color="auto"/>
        <w:bottom w:val="none" w:sz="0" w:space="0" w:color="auto"/>
        <w:right w:val="none" w:sz="0" w:space="0" w:color="auto"/>
      </w:divBdr>
    </w:div>
    <w:div w:id="142084331">
      <w:bodyDiv w:val="1"/>
      <w:marLeft w:val="0"/>
      <w:marRight w:val="0"/>
      <w:marTop w:val="0"/>
      <w:marBottom w:val="0"/>
      <w:divBdr>
        <w:top w:val="none" w:sz="0" w:space="0" w:color="auto"/>
        <w:left w:val="none" w:sz="0" w:space="0" w:color="auto"/>
        <w:bottom w:val="none" w:sz="0" w:space="0" w:color="auto"/>
        <w:right w:val="none" w:sz="0" w:space="0" w:color="auto"/>
      </w:divBdr>
    </w:div>
    <w:div w:id="146170934">
      <w:bodyDiv w:val="1"/>
      <w:marLeft w:val="0"/>
      <w:marRight w:val="0"/>
      <w:marTop w:val="0"/>
      <w:marBottom w:val="0"/>
      <w:divBdr>
        <w:top w:val="none" w:sz="0" w:space="0" w:color="auto"/>
        <w:left w:val="none" w:sz="0" w:space="0" w:color="auto"/>
        <w:bottom w:val="none" w:sz="0" w:space="0" w:color="auto"/>
        <w:right w:val="none" w:sz="0" w:space="0" w:color="auto"/>
      </w:divBdr>
    </w:div>
    <w:div w:id="147484024">
      <w:bodyDiv w:val="1"/>
      <w:marLeft w:val="0"/>
      <w:marRight w:val="0"/>
      <w:marTop w:val="0"/>
      <w:marBottom w:val="0"/>
      <w:divBdr>
        <w:top w:val="none" w:sz="0" w:space="0" w:color="auto"/>
        <w:left w:val="none" w:sz="0" w:space="0" w:color="auto"/>
        <w:bottom w:val="none" w:sz="0" w:space="0" w:color="auto"/>
        <w:right w:val="none" w:sz="0" w:space="0" w:color="auto"/>
      </w:divBdr>
    </w:div>
    <w:div w:id="155149870">
      <w:bodyDiv w:val="1"/>
      <w:marLeft w:val="0"/>
      <w:marRight w:val="0"/>
      <w:marTop w:val="0"/>
      <w:marBottom w:val="0"/>
      <w:divBdr>
        <w:top w:val="none" w:sz="0" w:space="0" w:color="auto"/>
        <w:left w:val="none" w:sz="0" w:space="0" w:color="auto"/>
        <w:bottom w:val="none" w:sz="0" w:space="0" w:color="auto"/>
        <w:right w:val="none" w:sz="0" w:space="0" w:color="auto"/>
      </w:divBdr>
    </w:div>
    <w:div w:id="159779121">
      <w:bodyDiv w:val="1"/>
      <w:marLeft w:val="0"/>
      <w:marRight w:val="0"/>
      <w:marTop w:val="0"/>
      <w:marBottom w:val="0"/>
      <w:divBdr>
        <w:top w:val="none" w:sz="0" w:space="0" w:color="auto"/>
        <w:left w:val="none" w:sz="0" w:space="0" w:color="auto"/>
        <w:bottom w:val="none" w:sz="0" w:space="0" w:color="auto"/>
        <w:right w:val="none" w:sz="0" w:space="0" w:color="auto"/>
      </w:divBdr>
    </w:div>
    <w:div w:id="168763806">
      <w:bodyDiv w:val="1"/>
      <w:marLeft w:val="0"/>
      <w:marRight w:val="0"/>
      <w:marTop w:val="0"/>
      <w:marBottom w:val="0"/>
      <w:divBdr>
        <w:top w:val="none" w:sz="0" w:space="0" w:color="auto"/>
        <w:left w:val="none" w:sz="0" w:space="0" w:color="auto"/>
        <w:bottom w:val="none" w:sz="0" w:space="0" w:color="auto"/>
        <w:right w:val="none" w:sz="0" w:space="0" w:color="auto"/>
      </w:divBdr>
    </w:div>
    <w:div w:id="174997342">
      <w:bodyDiv w:val="1"/>
      <w:marLeft w:val="0"/>
      <w:marRight w:val="0"/>
      <w:marTop w:val="0"/>
      <w:marBottom w:val="0"/>
      <w:divBdr>
        <w:top w:val="none" w:sz="0" w:space="0" w:color="auto"/>
        <w:left w:val="none" w:sz="0" w:space="0" w:color="auto"/>
        <w:bottom w:val="none" w:sz="0" w:space="0" w:color="auto"/>
        <w:right w:val="none" w:sz="0" w:space="0" w:color="auto"/>
      </w:divBdr>
    </w:div>
    <w:div w:id="182280968">
      <w:bodyDiv w:val="1"/>
      <w:marLeft w:val="0"/>
      <w:marRight w:val="0"/>
      <w:marTop w:val="0"/>
      <w:marBottom w:val="0"/>
      <w:divBdr>
        <w:top w:val="none" w:sz="0" w:space="0" w:color="auto"/>
        <w:left w:val="none" w:sz="0" w:space="0" w:color="auto"/>
        <w:bottom w:val="none" w:sz="0" w:space="0" w:color="auto"/>
        <w:right w:val="none" w:sz="0" w:space="0" w:color="auto"/>
      </w:divBdr>
    </w:div>
    <w:div w:id="186480151">
      <w:bodyDiv w:val="1"/>
      <w:marLeft w:val="0"/>
      <w:marRight w:val="0"/>
      <w:marTop w:val="0"/>
      <w:marBottom w:val="0"/>
      <w:divBdr>
        <w:top w:val="none" w:sz="0" w:space="0" w:color="auto"/>
        <w:left w:val="none" w:sz="0" w:space="0" w:color="auto"/>
        <w:bottom w:val="none" w:sz="0" w:space="0" w:color="auto"/>
        <w:right w:val="none" w:sz="0" w:space="0" w:color="auto"/>
      </w:divBdr>
    </w:div>
    <w:div w:id="187642800">
      <w:bodyDiv w:val="1"/>
      <w:marLeft w:val="0"/>
      <w:marRight w:val="0"/>
      <w:marTop w:val="0"/>
      <w:marBottom w:val="0"/>
      <w:divBdr>
        <w:top w:val="none" w:sz="0" w:space="0" w:color="auto"/>
        <w:left w:val="none" w:sz="0" w:space="0" w:color="auto"/>
        <w:bottom w:val="none" w:sz="0" w:space="0" w:color="auto"/>
        <w:right w:val="none" w:sz="0" w:space="0" w:color="auto"/>
      </w:divBdr>
    </w:div>
    <w:div w:id="189686311">
      <w:bodyDiv w:val="1"/>
      <w:marLeft w:val="0"/>
      <w:marRight w:val="0"/>
      <w:marTop w:val="0"/>
      <w:marBottom w:val="0"/>
      <w:divBdr>
        <w:top w:val="none" w:sz="0" w:space="0" w:color="auto"/>
        <w:left w:val="none" w:sz="0" w:space="0" w:color="auto"/>
        <w:bottom w:val="none" w:sz="0" w:space="0" w:color="auto"/>
        <w:right w:val="none" w:sz="0" w:space="0" w:color="auto"/>
      </w:divBdr>
    </w:div>
    <w:div w:id="191579161">
      <w:bodyDiv w:val="1"/>
      <w:marLeft w:val="0"/>
      <w:marRight w:val="0"/>
      <w:marTop w:val="0"/>
      <w:marBottom w:val="0"/>
      <w:divBdr>
        <w:top w:val="none" w:sz="0" w:space="0" w:color="auto"/>
        <w:left w:val="none" w:sz="0" w:space="0" w:color="auto"/>
        <w:bottom w:val="none" w:sz="0" w:space="0" w:color="auto"/>
        <w:right w:val="none" w:sz="0" w:space="0" w:color="auto"/>
      </w:divBdr>
    </w:div>
    <w:div w:id="194269472">
      <w:bodyDiv w:val="1"/>
      <w:marLeft w:val="0"/>
      <w:marRight w:val="0"/>
      <w:marTop w:val="0"/>
      <w:marBottom w:val="0"/>
      <w:divBdr>
        <w:top w:val="none" w:sz="0" w:space="0" w:color="auto"/>
        <w:left w:val="none" w:sz="0" w:space="0" w:color="auto"/>
        <w:bottom w:val="none" w:sz="0" w:space="0" w:color="auto"/>
        <w:right w:val="none" w:sz="0" w:space="0" w:color="auto"/>
      </w:divBdr>
    </w:div>
    <w:div w:id="198973520">
      <w:bodyDiv w:val="1"/>
      <w:marLeft w:val="0"/>
      <w:marRight w:val="0"/>
      <w:marTop w:val="0"/>
      <w:marBottom w:val="0"/>
      <w:divBdr>
        <w:top w:val="none" w:sz="0" w:space="0" w:color="auto"/>
        <w:left w:val="none" w:sz="0" w:space="0" w:color="auto"/>
        <w:bottom w:val="none" w:sz="0" w:space="0" w:color="auto"/>
        <w:right w:val="none" w:sz="0" w:space="0" w:color="auto"/>
      </w:divBdr>
    </w:div>
    <w:div w:id="200747855">
      <w:bodyDiv w:val="1"/>
      <w:marLeft w:val="0"/>
      <w:marRight w:val="0"/>
      <w:marTop w:val="0"/>
      <w:marBottom w:val="0"/>
      <w:divBdr>
        <w:top w:val="none" w:sz="0" w:space="0" w:color="auto"/>
        <w:left w:val="none" w:sz="0" w:space="0" w:color="auto"/>
        <w:bottom w:val="none" w:sz="0" w:space="0" w:color="auto"/>
        <w:right w:val="none" w:sz="0" w:space="0" w:color="auto"/>
      </w:divBdr>
    </w:div>
    <w:div w:id="205071128">
      <w:bodyDiv w:val="1"/>
      <w:marLeft w:val="0"/>
      <w:marRight w:val="0"/>
      <w:marTop w:val="0"/>
      <w:marBottom w:val="0"/>
      <w:divBdr>
        <w:top w:val="none" w:sz="0" w:space="0" w:color="auto"/>
        <w:left w:val="none" w:sz="0" w:space="0" w:color="auto"/>
        <w:bottom w:val="none" w:sz="0" w:space="0" w:color="auto"/>
        <w:right w:val="none" w:sz="0" w:space="0" w:color="auto"/>
      </w:divBdr>
    </w:div>
    <w:div w:id="205610249">
      <w:bodyDiv w:val="1"/>
      <w:marLeft w:val="0"/>
      <w:marRight w:val="0"/>
      <w:marTop w:val="0"/>
      <w:marBottom w:val="0"/>
      <w:divBdr>
        <w:top w:val="none" w:sz="0" w:space="0" w:color="auto"/>
        <w:left w:val="none" w:sz="0" w:space="0" w:color="auto"/>
        <w:bottom w:val="none" w:sz="0" w:space="0" w:color="auto"/>
        <w:right w:val="none" w:sz="0" w:space="0" w:color="auto"/>
      </w:divBdr>
    </w:div>
    <w:div w:id="208155082">
      <w:bodyDiv w:val="1"/>
      <w:marLeft w:val="0"/>
      <w:marRight w:val="0"/>
      <w:marTop w:val="0"/>
      <w:marBottom w:val="0"/>
      <w:divBdr>
        <w:top w:val="none" w:sz="0" w:space="0" w:color="auto"/>
        <w:left w:val="none" w:sz="0" w:space="0" w:color="auto"/>
        <w:bottom w:val="none" w:sz="0" w:space="0" w:color="auto"/>
        <w:right w:val="none" w:sz="0" w:space="0" w:color="auto"/>
      </w:divBdr>
    </w:div>
    <w:div w:id="208735043">
      <w:bodyDiv w:val="1"/>
      <w:marLeft w:val="0"/>
      <w:marRight w:val="0"/>
      <w:marTop w:val="0"/>
      <w:marBottom w:val="0"/>
      <w:divBdr>
        <w:top w:val="none" w:sz="0" w:space="0" w:color="auto"/>
        <w:left w:val="none" w:sz="0" w:space="0" w:color="auto"/>
        <w:bottom w:val="none" w:sz="0" w:space="0" w:color="auto"/>
        <w:right w:val="none" w:sz="0" w:space="0" w:color="auto"/>
      </w:divBdr>
    </w:div>
    <w:div w:id="210895064">
      <w:bodyDiv w:val="1"/>
      <w:marLeft w:val="0"/>
      <w:marRight w:val="0"/>
      <w:marTop w:val="0"/>
      <w:marBottom w:val="0"/>
      <w:divBdr>
        <w:top w:val="none" w:sz="0" w:space="0" w:color="auto"/>
        <w:left w:val="none" w:sz="0" w:space="0" w:color="auto"/>
        <w:bottom w:val="none" w:sz="0" w:space="0" w:color="auto"/>
        <w:right w:val="none" w:sz="0" w:space="0" w:color="auto"/>
      </w:divBdr>
    </w:div>
    <w:div w:id="217858191">
      <w:bodyDiv w:val="1"/>
      <w:marLeft w:val="0"/>
      <w:marRight w:val="0"/>
      <w:marTop w:val="0"/>
      <w:marBottom w:val="0"/>
      <w:divBdr>
        <w:top w:val="none" w:sz="0" w:space="0" w:color="auto"/>
        <w:left w:val="none" w:sz="0" w:space="0" w:color="auto"/>
        <w:bottom w:val="none" w:sz="0" w:space="0" w:color="auto"/>
        <w:right w:val="none" w:sz="0" w:space="0" w:color="auto"/>
      </w:divBdr>
    </w:div>
    <w:div w:id="224141866">
      <w:bodyDiv w:val="1"/>
      <w:marLeft w:val="0"/>
      <w:marRight w:val="0"/>
      <w:marTop w:val="0"/>
      <w:marBottom w:val="0"/>
      <w:divBdr>
        <w:top w:val="none" w:sz="0" w:space="0" w:color="auto"/>
        <w:left w:val="none" w:sz="0" w:space="0" w:color="auto"/>
        <w:bottom w:val="none" w:sz="0" w:space="0" w:color="auto"/>
        <w:right w:val="none" w:sz="0" w:space="0" w:color="auto"/>
      </w:divBdr>
    </w:div>
    <w:div w:id="229733415">
      <w:bodyDiv w:val="1"/>
      <w:marLeft w:val="0"/>
      <w:marRight w:val="0"/>
      <w:marTop w:val="0"/>
      <w:marBottom w:val="0"/>
      <w:divBdr>
        <w:top w:val="none" w:sz="0" w:space="0" w:color="auto"/>
        <w:left w:val="none" w:sz="0" w:space="0" w:color="auto"/>
        <w:bottom w:val="none" w:sz="0" w:space="0" w:color="auto"/>
        <w:right w:val="none" w:sz="0" w:space="0" w:color="auto"/>
      </w:divBdr>
    </w:div>
    <w:div w:id="233783212">
      <w:bodyDiv w:val="1"/>
      <w:marLeft w:val="0"/>
      <w:marRight w:val="0"/>
      <w:marTop w:val="0"/>
      <w:marBottom w:val="0"/>
      <w:divBdr>
        <w:top w:val="none" w:sz="0" w:space="0" w:color="auto"/>
        <w:left w:val="none" w:sz="0" w:space="0" w:color="auto"/>
        <w:bottom w:val="none" w:sz="0" w:space="0" w:color="auto"/>
        <w:right w:val="none" w:sz="0" w:space="0" w:color="auto"/>
      </w:divBdr>
    </w:div>
    <w:div w:id="234979117">
      <w:bodyDiv w:val="1"/>
      <w:marLeft w:val="0"/>
      <w:marRight w:val="0"/>
      <w:marTop w:val="0"/>
      <w:marBottom w:val="0"/>
      <w:divBdr>
        <w:top w:val="none" w:sz="0" w:space="0" w:color="auto"/>
        <w:left w:val="none" w:sz="0" w:space="0" w:color="auto"/>
        <w:bottom w:val="none" w:sz="0" w:space="0" w:color="auto"/>
        <w:right w:val="none" w:sz="0" w:space="0" w:color="auto"/>
      </w:divBdr>
    </w:div>
    <w:div w:id="237062767">
      <w:bodyDiv w:val="1"/>
      <w:marLeft w:val="0"/>
      <w:marRight w:val="0"/>
      <w:marTop w:val="0"/>
      <w:marBottom w:val="0"/>
      <w:divBdr>
        <w:top w:val="none" w:sz="0" w:space="0" w:color="auto"/>
        <w:left w:val="none" w:sz="0" w:space="0" w:color="auto"/>
        <w:bottom w:val="none" w:sz="0" w:space="0" w:color="auto"/>
        <w:right w:val="none" w:sz="0" w:space="0" w:color="auto"/>
      </w:divBdr>
    </w:div>
    <w:div w:id="240258919">
      <w:bodyDiv w:val="1"/>
      <w:marLeft w:val="0"/>
      <w:marRight w:val="0"/>
      <w:marTop w:val="0"/>
      <w:marBottom w:val="0"/>
      <w:divBdr>
        <w:top w:val="none" w:sz="0" w:space="0" w:color="auto"/>
        <w:left w:val="none" w:sz="0" w:space="0" w:color="auto"/>
        <w:bottom w:val="none" w:sz="0" w:space="0" w:color="auto"/>
        <w:right w:val="none" w:sz="0" w:space="0" w:color="auto"/>
      </w:divBdr>
    </w:div>
    <w:div w:id="245040149">
      <w:bodyDiv w:val="1"/>
      <w:marLeft w:val="0"/>
      <w:marRight w:val="0"/>
      <w:marTop w:val="0"/>
      <w:marBottom w:val="0"/>
      <w:divBdr>
        <w:top w:val="none" w:sz="0" w:space="0" w:color="auto"/>
        <w:left w:val="none" w:sz="0" w:space="0" w:color="auto"/>
        <w:bottom w:val="none" w:sz="0" w:space="0" w:color="auto"/>
        <w:right w:val="none" w:sz="0" w:space="0" w:color="auto"/>
      </w:divBdr>
    </w:div>
    <w:div w:id="249776445">
      <w:bodyDiv w:val="1"/>
      <w:marLeft w:val="0"/>
      <w:marRight w:val="0"/>
      <w:marTop w:val="0"/>
      <w:marBottom w:val="0"/>
      <w:divBdr>
        <w:top w:val="none" w:sz="0" w:space="0" w:color="auto"/>
        <w:left w:val="none" w:sz="0" w:space="0" w:color="auto"/>
        <w:bottom w:val="none" w:sz="0" w:space="0" w:color="auto"/>
        <w:right w:val="none" w:sz="0" w:space="0" w:color="auto"/>
      </w:divBdr>
    </w:div>
    <w:div w:id="255528147">
      <w:bodyDiv w:val="1"/>
      <w:marLeft w:val="0"/>
      <w:marRight w:val="0"/>
      <w:marTop w:val="0"/>
      <w:marBottom w:val="0"/>
      <w:divBdr>
        <w:top w:val="none" w:sz="0" w:space="0" w:color="auto"/>
        <w:left w:val="none" w:sz="0" w:space="0" w:color="auto"/>
        <w:bottom w:val="none" w:sz="0" w:space="0" w:color="auto"/>
        <w:right w:val="none" w:sz="0" w:space="0" w:color="auto"/>
      </w:divBdr>
    </w:div>
    <w:div w:id="256987012">
      <w:bodyDiv w:val="1"/>
      <w:marLeft w:val="0"/>
      <w:marRight w:val="0"/>
      <w:marTop w:val="0"/>
      <w:marBottom w:val="0"/>
      <w:divBdr>
        <w:top w:val="none" w:sz="0" w:space="0" w:color="auto"/>
        <w:left w:val="none" w:sz="0" w:space="0" w:color="auto"/>
        <w:bottom w:val="none" w:sz="0" w:space="0" w:color="auto"/>
        <w:right w:val="none" w:sz="0" w:space="0" w:color="auto"/>
      </w:divBdr>
    </w:div>
    <w:div w:id="259991214">
      <w:bodyDiv w:val="1"/>
      <w:marLeft w:val="0"/>
      <w:marRight w:val="0"/>
      <w:marTop w:val="0"/>
      <w:marBottom w:val="0"/>
      <w:divBdr>
        <w:top w:val="none" w:sz="0" w:space="0" w:color="auto"/>
        <w:left w:val="none" w:sz="0" w:space="0" w:color="auto"/>
        <w:bottom w:val="none" w:sz="0" w:space="0" w:color="auto"/>
        <w:right w:val="none" w:sz="0" w:space="0" w:color="auto"/>
      </w:divBdr>
    </w:div>
    <w:div w:id="260532824">
      <w:bodyDiv w:val="1"/>
      <w:marLeft w:val="0"/>
      <w:marRight w:val="0"/>
      <w:marTop w:val="0"/>
      <w:marBottom w:val="0"/>
      <w:divBdr>
        <w:top w:val="none" w:sz="0" w:space="0" w:color="auto"/>
        <w:left w:val="none" w:sz="0" w:space="0" w:color="auto"/>
        <w:bottom w:val="none" w:sz="0" w:space="0" w:color="auto"/>
        <w:right w:val="none" w:sz="0" w:space="0" w:color="auto"/>
      </w:divBdr>
    </w:div>
    <w:div w:id="265622075">
      <w:bodyDiv w:val="1"/>
      <w:marLeft w:val="0"/>
      <w:marRight w:val="0"/>
      <w:marTop w:val="0"/>
      <w:marBottom w:val="0"/>
      <w:divBdr>
        <w:top w:val="none" w:sz="0" w:space="0" w:color="auto"/>
        <w:left w:val="none" w:sz="0" w:space="0" w:color="auto"/>
        <w:bottom w:val="none" w:sz="0" w:space="0" w:color="auto"/>
        <w:right w:val="none" w:sz="0" w:space="0" w:color="auto"/>
      </w:divBdr>
    </w:div>
    <w:div w:id="273709804">
      <w:bodyDiv w:val="1"/>
      <w:marLeft w:val="0"/>
      <w:marRight w:val="0"/>
      <w:marTop w:val="0"/>
      <w:marBottom w:val="0"/>
      <w:divBdr>
        <w:top w:val="none" w:sz="0" w:space="0" w:color="auto"/>
        <w:left w:val="none" w:sz="0" w:space="0" w:color="auto"/>
        <w:bottom w:val="none" w:sz="0" w:space="0" w:color="auto"/>
        <w:right w:val="none" w:sz="0" w:space="0" w:color="auto"/>
      </w:divBdr>
    </w:div>
    <w:div w:id="284193109">
      <w:bodyDiv w:val="1"/>
      <w:marLeft w:val="0"/>
      <w:marRight w:val="0"/>
      <w:marTop w:val="0"/>
      <w:marBottom w:val="0"/>
      <w:divBdr>
        <w:top w:val="none" w:sz="0" w:space="0" w:color="auto"/>
        <w:left w:val="none" w:sz="0" w:space="0" w:color="auto"/>
        <w:bottom w:val="none" w:sz="0" w:space="0" w:color="auto"/>
        <w:right w:val="none" w:sz="0" w:space="0" w:color="auto"/>
      </w:divBdr>
    </w:div>
    <w:div w:id="287473183">
      <w:bodyDiv w:val="1"/>
      <w:marLeft w:val="0"/>
      <w:marRight w:val="0"/>
      <w:marTop w:val="0"/>
      <w:marBottom w:val="0"/>
      <w:divBdr>
        <w:top w:val="none" w:sz="0" w:space="0" w:color="auto"/>
        <w:left w:val="none" w:sz="0" w:space="0" w:color="auto"/>
        <w:bottom w:val="none" w:sz="0" w:space="0" w:color="auto"/>
        <w:right w:val="none" w:sz="0" w:space="0" w:color="auto"/>
      </w:divBdr>
    </w:div>
    <w:div w:id="290062594">
      <w:bodyDiv w:val="1"/>
      <w:marLeft w:val="0"/>
      <w:marRight w:val="0"/>
      <w:marTop w:val="0"/>
      <w:marBottom w:val="0"/>
      <w:divBdr>
        <w:top w:val="none" w:sz="0" w:space="0" w:color="auto"/>
        <w:left w:val="none" w:sz="0" w:space="0" w:color="auto"/>
        <w:bottom w:val="none" w:sz="0" w:space="0" w:color="auto"/>
        <w:right w:val="none" w:sz="0" w:space="0" w:color="auto"/>
      </w:divBdr>
    </w:div>
    <w:div w:id="291323870">
      <w:bodyDiv w:val="1"/>
      <w:marLeft w:val="0"/>
      <w:marRight w:val="0"/>
      <w:marTop w:val="0"/>
      <w:marBottom w:val="0"/>
      <w:divBdr>
        <w:top w:val="none" w:sz="0" w:space="0" w:color="auto"/>
        <w:left w:val="none" w:sz="0" w:space="0" w:color="auto"/>
        <w:bottom w:val="none" w:sz="0" w:space="0" w:color="auto"/>
        <w:right w:val="none" w:sz="0" w:space="0" w:color="auto"/>
      </w:divBdr>
    </w:div>
    <w:div w:id="294676220">
      <w:bodyDiv w:val="1"/>
      <w:marLeft w:val="0"/>
      <w:marRight w:val="0"/>
      <w:marTop w:val="0"/>
      <w:marBottom w:val="0"/>
      <w:divBdr>
        <w:top w:val="none" w:sz="0" w:space="0" w:color="auto"/>
        <w:left w:val="none" w:sz="0" w:space="0" w:color="auto"/>
        <w:bottom w:val="none" w:sz="0" w:space="0" w:color="auto"/>
        <w:right w:val="none" w:sz="0" w:space="0" w:color="auto"/>
      </w:divBdr>
    </w:div>
    <w:div w:id="304816256">
      <w:bodyDiv w:val="1"/>
      <w:marLeft w:val="0"/>
      <w:marRight w:val="0"/>
      <w:marTop w:val="0"/>
      <w:marBottom w:val="0"/>
      <w:divBdr>
        <w:top w:val="none" w:sz="0" w:space="0" w:color="auto"/>
        <w:left w:val="none" w:sz="0" w:space="0" w:color="auto"/>
        <w:bottom w:val="none" w:sz="0" w:space="0" w:color="auto"/>
        <w:right w:val="none" w:sz="0" w:space="0" w:color="auto"/>
      </w:divBdr>
    </w:div>
    <w:div w:id="306710571">
      <w:bodyDiv w:val="1"/>
      <w:marLeft w:val="0"/>
      <w:marRight w:val="0"/>
      <w:marTop w:val="0"/>
      <w:marBottom w:val="0"/>
      <w:divBdr>
        <w:top w:val="none" w:sz="0" w:space="0" w:color="auto"/>
        <w:left w:val="none" w:sz="0" w:space="0" w:color="auto"/>
        <w:bottom w:val="none" w:sz="0" w:space="0" w:color="auto"/>
        <w:right w:val="none" w:sz="0" w:space="0" w:color="auto"/>
      </w:divBdr>
    </w:div>
    <w:div w:id="307638293">
      <w:bodyDiv w:val="1"/>
      <w:marLeft w:val="0"/>
      <w:marRight w:val="0"/>
      <w:marTop w:val="0"/>
      <w:marBottom w:val="0"/>
      <w:divBdr>
        <w:top w:val="none" w:sz="0" w:space="0" w:color="auto"/>
        <w:left w:val="none" w:sz="0" w:space="0" w:color="auto"/>
        <w:bottom w:val="none" w:sz="0" w:space="0" w:color="auto"/>
        <w:right w:val="none" w:sz="0" w:space="0" w:color="auto"/>
      </w:divBdr>
    </w:div>
    <w:div w:id="324749690">
      <w:bodyDiv w:val="1"/>
      <w:marLeft w:val="0"/>
      <w:marRight w:val="0"/>
      <w:marTop w:val="0"/>
      <w:marBottom w:val="0"/>
      <w:divBdr>
        <w:top w:val="none" w:sz="0" w:space="0" w:color="auto"/>
        <w:left w:val="none" w:sz="0" w:space="0" w:color="auto"/>
        <w:bottom w:val="none" w:sz="0" w:space="0" w:color="auto"/>
        <w:right w:val="none" w:sz="0" w:space="0" w:color="auto"/>
      </w:divBdr>
    </w:div>
    <w:div w:id="334188089">
      <w:bodyDiv w:val="1"/>
      <w:marLeft w:val="0"/>
      <w:marRight w:val="0"/>
      <w:marTop w:val="0"/>
      <w:marBottom w:val="0"/>
      <w:divBdr>
        <w:top w:val="none" w:sz="0" w:space="0" w:color="auto"/>
        <w:left w:val="none" w:sz="0" w:space="0" w:color="auto"/>
        <w:bottom w:val="none" w:sz="0" w:space="0" w:color="auto"/>
        <w:right w:val="none" w:sz="0" w:space="0" w:color="auto"/>
      </w:divBdr>
    </w:div>
    <w:div w:id="335503244">
      <w:bodyDiv w:val="1"/>
      <w:marLeft w:val="0"/>
      <w:marRight w:val="0"/>
      <w:marTop w:val="0"/>
      <w:marBottom w:val="0"/>
      <w:divBdr>
        <w:top w:val="none" w:sz="0" w:space="0" w:color="auto"/>
        <w:left w:val="none" w:sz="0" w:space="0" w:color="auto"/>
        <w:bottom w:val="none" w:sz="0" w:space="0" w:color="auto"/>
        <w:right w:val="none" w:sz="0" w:space="0" w:color="auto"/>
      </w:divBdr>
    </w:div>
    <w:div w:id="336733788">
      <w:bodyDiv w:val="1"/>
      <w:marLeft w:val="0"/>
      <w:marRight w:val="0"/>
      <w:marTop w:val="0"/>
      <w:marBottom w:val="0"/>
      <w:divBdr>
        <w:top w:val="none" w:sz="0" w:space="0" w:color="auto"/>
        <w:left w:val="none" w:sz="0" w:space="0" w:color="auto"/>
        <w:bottom w:val="none" w:sz="0" w:space="0" w:color="auto"/>
        <w:right w:val="none" w:sz="0" w:space="0" w:color="auto"/>
      </w:divBdr>
    </w:div>
    <w:div w:id="338586789">
      <w:bodyDiv w:val="1"/>
      <w:marLeft w:val="0"/>
      <w:marRight w:val="0"/>
      <w:marTop w:val="0"/>
      <w:marBottom w:val="0"/>
      <w:divBdr>
        <w:top w:val="none" w:sz="0" w:space="0" w:color="auto"/>
        <w:left w:val="none" w:sz="0" w:space="0" w:color="auto"/>
        <w:bottom w:val="none" w:sz="0" w:space="0" w:color="auto"/>
        <w:right w:val="none" w:sz="0" w:space="0" w:color="auto"/>
      </w:divBdr>
    </w:div>
    <w:div w:id="340204612">
      <w:bodyDiv w:val="1"/>
      <w:marLeft w:val="0"/>
      <w:marRight w:val="0"/>
      <w:marTop w:val="0"/>
      <w:marBottom w:val="0"/>
      <w:divBdr>
        <w:top w:val="none" w:sz="0" w:space="0" w:color="auto"/>
        <w:left w:val="none" w:sz="0" w:space="0" w:color="auto"/>
        <w:bottom w:val="none" w:sz="0" w:space="0" w:color="auto"/>
        <w:right w:val="none" w:sz="0" w:space="0" w:color="auto"/>
      </w:divBdr>
    </w:div>
    <w:div w:id="345330543">
      <w:bodyDiv w:val="1"/>
      <w:marLeft w:val="0"/>
      <w:marRight w:val="0"/>
      <w:marTop w:val="0"/>
      <w:marBottom w:val="0"/>
      <w:divBdr>
        <w:top w:val="none" w:sz="0" w:space="0" w:color="auto"/>
        <w:left w:val="none" w:sz="0" w:space="0" w:color="auto"/>
        <w:bottom w:val="none" w:sz="0" w:space="0" w:color="auto"/>
        <w:right w:val="none" w:sz="0" w:space="0" w:color="auto"/>
      </w:divBdr>
    </w:div>
    <w:div w:id="347681285">
      <w:bodyDiv w:val="1"/>
      <w:marLeft w:val="0"/>
      <w:marRight w:val="0"/>
      <w:marTop w:val="0"/>
      <w:marBottom w:val="0"/>
      <w:divBdr>
        <w:top w:val="none" w:sz="0" w:space="0" w:color="auto"/>
        <w:left w:val="none" w:sz="0" w:space="0" w:color="auto"/>
        <w:bottom w:val="none" w:sz="0" w:space="0" w:color="auto"/>
        <w:right w:val="none" w:sz="0" w:space="0" w:color="auto"/>
      </w:divBdr>
    </w:div>
    <w:div w:id="355270949">
      <w:bodyDiv w:val="1"/>
      <w:marLeft w:val="0"/>
      <w:marRight w:val="0"/>
      <w:marTop w:val="0"/>
      <w:marBottom w:val="0"/>
      <w:divBdr>
        <w:top w:val="none" w:sz="0" w:space="0" w:color="auto"/>
        <w:left w:val="none" w:sz="0" w:space="0" w:color="auto"/>
        <w:bottom w:val="none" w:sz="0" w:space="0" w:color="auto"/>
        <w:right w:val="none" w:sz="0" w:space="0" w:color="auto"/>
      </w:divBdr>
    </w:div>
    <w:div w:id="363407884">
      <w:bodyDiv w:val="1"/>
      <w:marLeft w:val="0"/>
      <w:marRight w:val="0"/>
      <w:marTop w:val="0"/>
      <w:marBottom w:val="0"/>
      <w:divBdr>
        <w:top w:val="none" w:sz="0" w:space="0" w:color="auto"/>
        <w:left w:val="none" w:sz="0" w:space="0" w:color="auto"/>
        <w:bottom w:val="none" w:sz="0" w:space="0" w:color="auto"/>
        <w:right w:val="none" w:sz="0" w:space="0" w:color="auto"/>
      </w:divBdr>
    </w:div>
    <w:div w:id="364839062">
      <w:bodyDiv w:val="1"/>
      <w:marLeft w:val="0"/>
      <w:marRight w:val="0"/>
      <w:marTop w:val="0"/>
      <w:marBottom w:val="0"/>
      <w:divBdr>
        <w:top w:val="none" w:sz="0" w:space="0" w:color="auto"/>
        <w:left w:val="none" w:sz="0" w:space="0" w:color="auto"/>
        <w:bottom w:val="none" w:sz="0" w:space="0" w:color="auto"/>
        <w:right w:val="none" w:sz="0" w:space="0" w:color="auto"/>
      </w:divBdr>
    </w:div>
    <w:div w:id="369916839">
      <w:bodyDiv w:val="1"/>
      <w:marLeft w:val="0"/>
      <w:marRight w:val="0"/>
      <w:marTop w:val="0"/>
      <w:marBottom w:val="0"/>
      <w:divBdr>
        <w:top w:val="none" w:sz="0" w:space="0" w:color="auto"/>
        <w:left w:val="none" w:sz="0" w:space="0" w:color="auto"/>
        <w:bottom w:val="none" w:sz="0" w:space="0" w:color="auto"/>
        <w:right w:val="none" w:sz="0" w:space="0" w:color="auto"/>
      </w:divBdr>
    </w:div>
    <w:div w:id="371461137">
      <w:bodyDiv w:val="1"/>
      <w:marLeft w:val="0"/>
      <w:marRight w:val="0"/>
      <w:marTop w:val="0"/>
      <w:marBottom w:val="0"/>
      <w:divBdr>
        <w:top w:val="none" w:sz="0" w:space="0" w:color="auto"/>
        <w:left w:val="none" w:sz="0" w:space="0" w:color="auto"/>
        <w:bottom w:val="none" w:sz="0" w:space="0" w:color="auto"/>
        <w:right w:val="none" w:sz="0" w:space="0" w:color="auto"/>
      </w:divBdr>
    </w:div>
    <w:div w:id="378944887">
      <w:bodyDiv w:val="1"/>
      <w:marLeft w:val="0"/>
      <w:marRight w:val="0"/>
      <w:marTop w:val="0"/>
      <w:marBottom w:val="0"/>
      <w:divBdr>
        <w:top w:val="none" w:sz="0" w:space="0" w:color="auto"/>
        <w:left w:val="none" w:sz="0" w:space="0" w:color="auto"/>
        <w:bottom w:val="none" w:sz="0" w:space="0" w:color="auto"/>
        <w:right w:val="none" w:sz="0" w:space="0" w:color="auto"/>
      </w:divBdr>
    </w:div>
    <w:div w:id="380834655">
      <w:bodyDiv w:val="1"/>
      <w:marLeft w:val="0"/>
      <w:marRight w:val="0"/>
      <w:marTop w:val="0"/>
      <w:marBottom w:val="0"/>
      <w:divBdr>
        <w:top w:val="none" w:sz="0" w:space="0" w:color="auto"/>
        <w:left w:val="none" w:sz="0" w:space="0" w:color="auto"/>
        <w:bottom w:val="none" w:sz="0" w:space="0" w:color="auto"/>
        <w:right w:val="none" w:sz="0" w:space="0" w:color="auto"/>
      </w:divBdr>
    </w:div>
    <w:div w:id="394469639">
      <w:bodyDiv w:val="1"/>
      <w:marLeft w:val="0"/>
      <w:marRight w:val="0"/>
      <w:marTop w:val="0"/>
      <w:marBottom w:val="0"/>
      <w:divBdr>
        <w:top w:val="none" w:sz="0" w:space="0" w:color="auto"/>
        <w:left w:val="none" w:sz="0" w:space="0" w:color="auto"/>
        <w:bottom w:val="none" w:sz="0" w:space="0" w:color="auto"/>
        <w:right w:val="none" w:sz="0" w:space="0" w:color="auto"/>
      </w:divBdr>
    </w:div>
    <w:div w:id="398132244">
      <w:bodyDiv w:val="1"/>
      <w:marLeft w:val="0"/>
      <w:marRight w:val="0"/>
      <w:marTop w:val="0"/>
      <w:marBottom w:val="0"/>
      <w:divBdr>
        <w:top w:val="none" w:sz="0" w:space="0" w:color="auto"/>
        <w:left w:val="none" w:sz="0" w:space="0" w:color="auto"/>
        <w:bottom w:val="none" w:sz="0" w:space="0" w:color="auto"/>
        <w:right w:val="none" w:sz="0" w:space="0" w:color="auto"/>
      </w:divBdr>
    </w:div>
    <w:div w:id="405760973">
      <w:bodyDiv w:val="1"/>
      <w:marLeft w:val="0"/>
      <w:marRight w:val="0"/>
      <w:marTop w:val="0"/>
      <w:marBottom w:val="0"/>
      <w:divBdr>
        <w:top w:val="none" w:sz="0" w:space="0" w:color="auto"/>
        <w:left w:val="none" w:sz="0" w:space="0" w:color="auto"/>
        <w:bottom w:val="none" w:sz="0" w:space="0" w:color="auto"/>
        <w:right w:val="none" w:sz="0" w:space="0" w:color="auto"/>
      </w:divBdr>
    </w:div>
    <w:div w:id="415370420">
      <w:bodyDiv w:val="1"/>
      <w:marLeft w:val="0"/>
      <w:marRight w:val="0"/>
      <w:marTop w:val="0"/>
      <w:marBottom w:val="0"/>
      <w:divBdr>
        <w:top w:val="none" w:sz="0" w:space="0" w:color="auto"/>
        <w:left w:val="none" w:sz="0" w:space="0" w:color="auto"/>
        <w:bottom w:val="none" w:sz="0" w:space="0" w:color="auto"/>
        <w:right w:val="none" w:sz="0" w:space="0" w:color="auto"/>
      </w:divBdr>
    </w:div>
    <w:div w:id="416368526">
      <w:bodyDiv w:val="1"/>
      <w:marLeft w:val="0"/>
      <w:marRight w:val="0"/>
      <w:marTop w:val="0"/>
      <w:marBottom w:val="0"/>
      <w:divBdr>
        <w:top w:val="none" w:sz="0" w:space="0" w:color="auto"/>
        <w:left w:val="none" w:sz="0" w:space="0" w:color="auto"/>
        <w:bottom w:val="none" w:sz="0" w:space="0" w:color="auto"/>
        <w:right w:val="none" w:sz="0" w:space="0" w:color="auto"/>
      </w:divBdr>
    </w:div>
    <w:div w:id="420684227">
      <w:bodyDiv w:val="1"/>
      <w:marLeft w:val="0"/>
      <w:marRight w:val="0"/>
      <w:marTop w:val="0"/>
      <w:marBottom w:val="0"/>
      <w:divBdr>
        <w:top w:val="none" w:sz="0" w:space="0" w:color="auto"/>
        <w:left w:val="none" w:sz="0" w:space="0" w:color="auto"/>
        <w:bottom w:val="none" w:sz="0" w:space="0" w:color="auto"/>
        <w:right w:val="none" w:sz="0" w:space="0" w:color="auto"/>
      </w:divBdr>
    </w:div>
    <w:div w:id="422066053">
      <w:bodyDiv w:val="1"/>
      <w:marLeft w:val="0"/>
      <w:marRight w:val="0"/>
      <w:marTop w:val="0"/>
      <w:marBottom w:val="0"/>
      <w:divBdr>
        <w:top w:val="none" w:sz="0" w:space="0" w:color="auto"/>
        <w:left w:val="none" w:sz="0" w:space="0" w:color="auto"/>
        <w:bottom w:val="none" w:sz="0" w:space="0" w:color="auto"/>
        <w:right w:val="none" w:sz="0" w:space="0" w:color="auto"/>
      </w:divBdr>
    </w:div>
    <w:div w:id="438140602">
      <w:bodyDiv w:val="1"/>
      <w:marLeft w:val="0"/>
      <w:marRight w:val="0"/>
      <w:marTop w:val="0"/>
      <w:marBottom w:val="0"/>
      <w:divBdr>
        <w:top w:val="none" w:sz="0" w:space="0" w:color="auto"/>
        <w:left w:val="none" w:sz="0" w:space="0" w:color="auto"/>
        <w:bottom w:val="none" w:sz="0" w:space="0" w:color="auto"/>
        <w:right w:val="none" w:sz="0" w:space="0" w:color="auto"/>
      </w:divBdr>
    </w:div>
    <w:div w:id="451367806">
      <w:bodyDiv w:val="1"/>
      <w:marLeft w:val="0"/>
      <w:marRight w:val="0"/>
      <w:marTop w:val="0"/>
      <w:marBottom w:val="0"/>
      <w:divBdr>
        <w:top w:val="none" w:sz="0" w:space="0" w:color="auto"/>
        <w:left w:val="none" w:sz="0" w:space="0" w:color="auto"/>
        <w:bottom w:val="none" w:sz="0" w:space="0" w:color="auto"/>
        <w:right w:val="none" w:sz="0" w:space="0" w:color="auto"/>
      </w:divBdr>
    </w:div>
    <w:div w:id="453256816">
      <w:bodyDiv w:val="1"/>
      <w:marLeft w:val="0"/>
      <w:marRight w:val="0"/>
      <w:marTop w:val="0"/>
      <w:marBottom w:val="0"/>
      <w:divBdr>
        <w:top w:val="none" w:sz="0" w:space="0" w:color="auto"/>
        <w:left w:val="none" w:sz="0" w:space="0" w:color="auto"/>
        <w:bottom w:val="none" w:sz="0" w:space="0" w:color="auto"/>
        <w:right w:val="none" w:sz="0" w:space="0" w:color="auto"/>
      </w:divBdr>
    </w:div>
    <w:div w:id="454100129">
      <w:bodyDiv w:val="1"/>
      <w:marLeft w:val="0"/>
      <w:marRight w:val="0"/>
      <w:marTop w:val="0"/>
      <w:marBottom w:val="0"/>
      <w:divBdr>
        <w:top w:val="none" w:sz="0" w:space="0" w:color="auto"/>
        <w:left w:val="none" w:sz="0" w:space="0" w:color="auto"/>
        <w:bottom w:val="none" w:sz="0" w:space="0" w:color="auto"/>
        <w:right w:val="none" w:sz="0" w:space="0" w:color="auto"/>
      </w:divBdr>
    </w:div>
    <w:div w:id="460416769">
      <w:bodyDiv w:val="1"/>
      <w:marLeft w:val="0"/>
      <w:marRight w:val="0"/>
      <w:marTop w:val="0"/>
      <w:marBottom w:val="0"/>
      <w:divBdr>
        <w:top w:val="none" w:sz="0" w:space="0" w:color="auto"/>
        <w:left w:val="none" w:sz="0" w:space="0" w:color="auto"/>
        <w:bottom w:val="none" w:sz="0" w:space="0" w:color="auto"/>
        <w:right w:val="none" w:sz="0" w:space="0" w:color="auto"/>
      </w:divBdr>
    </w:div>
    <w:div w:id="465900592">
      <w:bodyDiv w:val="1"/>
      <w:marLeft w:val="0"/>
      <w:marRight w:val="0"/>
      <w:marTop w:val="0"/>
      <w:marBottom w:val="0"/>
      <w:divBdr>
        <w:top w:val="none" w:sz="0" w:space="0" w:color="auto"/>
        <w:left w:val="none" w:sz="0" w:space="0" w:color="auto"/>
        <w:bottom w:val="none" w:sz="0" w:space="0" w:color="auto"/>
        <w:right w:val="none" w:sz="0" w:space="0" w:color="auto"/>
      </w:divBdr>
    </w:div>
    <w:div w:id="467280497">
      <w:bodyDiv w:val="1"/>
      <w:marLeft w:val="0"/>
      <w:marRight w:val="0"/>
      <w:marTop w:val="0"/>
      <w:marBottom w:val="0"/>
      <w:divBdr>
        <w:top w:val="none" w:sz="0" w:space="0" w:color="auto"/>
        <w:left w:val="none" w:sz="0" w:space="0" w:color="auto"/>
        <w:bottom w:val="none" w:sz="0" w:space="0" w:color="auto"/>
        <w:right w:val="none" w:sz="0" w:space="0" w:color="auto"/>
      </w:divBdr>
    </w:div>
    <w:div w:id="468547244">
      <w:bodyDiv w:val="1"/>
      <w:marLeft w:val="0"/>
      <w:marRight w:val="0"/>
      <w:marTop w:val="0"/>
      <w:marBottom w:val="0"/>
      <w:divBdr>
        <w:top w:val="none" w:sz="0" w:space="0" w:color="auto"/>
        <w:left w:val="none" w:sz="0" w:space="0" w:color="auto"/>
        <w:bottom w:val="none" w:sz="0" w:space="0" w:color="auto"/>
        <w:right w:val="none" w:sz="0" w:space="0" w:color="auto"/>
      </w:divBdr>
    </w:div>
    <w:div w:id="469179004">
      <w:bodyDiv w:val="1"/>
      <w:marLeft w:val="0"/>
      <w:marRight w:val="0"/>
      <w:marTop w:val="0"/>
      <w:marBottom w:val="0"/>
      <w:divBdr>
        <w:top w:val="none" w:sz="0" w:space="0" w:color="auto"/>
        <w:left w:val="none" w:sz="0" w:space="0" w:color="auto"/>
        <w:bottom w:val="none" w:sz="0" w:space="0" w:color="auto"/>
        <w:right w:val="none" w:sz="0" w:space="0" w:color="auto"/>
      </w:divBdr>
    </w:div>
    <w:div w:id="469247378">
      <w:bodyDiv w:val="1"/>
      <w:marLeft w:val="0"/>
      <w:marRight w:val="0"/>
      <w:marTop w:val="0"/>
      <w:marBottom w:val="0"/>
      <w:divBdr>
        <w:top w:val="none" w:sz="0" w:space="0" w:color="auto"/>
        <w:left w:val="none" w:sz="0" w:space="0" w:color="auto"/>
        <w:bottom w:val="none" w:sz="0" w:space="0" w:color="auto"/>
        <w:right w:val="none" w:sz="0" w:space="0" w:color="auto"/>
      </w:divBdr>
    </w:div>
    <w:div w:id="469828380">
      <w:bodyDiv w:val="1"/>
      <w:marLeft w:val="0"/>
      <w:marRight w:val="0"/>
      <w:marTop w:val="0"/>
      <w:marBottom w:val="0"/>
      <w:divBdr>
        <w:top w:val="none" w:sz="0" w:space="0" w:color="auto"/>
        <w:left w:val="none" w:sz="0" w:space="0" w:color="auto"/>
        <w:bottom w:val="none" w:sz="0" w:space="0" w:color="auto"/>
        <w:right w:val="none" w:sz="0" w:space="0" w:color="auto"/>
      </w:divBdr>
    </w:div>
    <w:div w:id="471412152">
      <w:bodyDiv w:val="1"/>
      <w:marLeft w:val="0"/>
      <w:marRight w:val="0"/>
      <w:marTop w:val="0"/>
      <w:marBottom w:val="0"/>
      <w:divBdr>
        <w:top w:val="none" w:sz="0" w:space="0" w:color="auto"/>
        <w:left w:val="none" w:sz="0" w:space="0" w:color="auto"/>
        <w:bottom w:val="none" w:sz="0" w:space="0" w:color="auto"/>
        <w:right w:val="none" w:sz="0" w:space="0" w:color="auto"/>
      </w:divBdr>
    </w:div>
    <w:div w:id="479350680">
      <w:bodyDiv w:val="1"/>
      <w:marLeft w:val="0"/>
      <w:marRight w:val="0"/>
      <w:marTop w:val="0"/>
      <w:marBottom w:val="0"/>
      <w:divBdr>
        <w:top w:val="none" w:sz="0" w:space="0" w:color="auto"/>
        <w:left w:val="none" w:sz="0" w:space="0" w:color="auto"/>
        <w:bottom w:val="none" w:sz="0" w:space="0" w:color="auto"/>
        <w:right w:val="none" w:sz="0" w:space="0" w:color="auto"/>
      </w:divBdr>
    </w:div>
    <w:div w:id="485391102">
      <w:bodyDiv w:val="1"/>
      <w:marLeft w:val="0"/>
      <w:marRight w:val="0"/>
      <w:marTop w:val="0"/>
      <w:marBottom w:val="0"/>
      <w:divBdr>
        <w:top w:val="none" w:sz="0" w:space="0" w:color="auto"/>
        <w:left w:val="none" w:sz="0" w:space="0" w:color="auto"/>
        <w:bottom w:val="none" w:sz="0" w:space="0" w:color="auto"/>
        <w:right w:val="none" w:sz="0" w:space="0" w:color="auto"/>
      </w:divBdr>
    </w:div>
    <w:div w:id="491216603">
      <w:bodyDiv w:val="1"/>
      <w:marLeft w:val="0"/>
      <w:marRight w:val="0"/>
      <w:marTop w:val="0"/>
      <w:marBottom w:val="0"/>
      <w:divBdr>
        <w:top w:val="none" w:sz="0" w:space="0" w:color="auto"/>
        <w:left w:val="none" w:sz="0" w:space="0" w:color="auto"/>
        <w:bottom w:val="none" w:sz="0" w:space="0" w:color="auto"/>
        <w:right w:val="none" w:sz="0" w:space="0" w:color="auto"/>
      </w:divBdr>
    </w:div>
    <w:div w:id="498236157">
      <w:bodyDiv w:val="1"/>
      <w:marLeft w:val="0"/>
      <w:marRight w:val="0"/>
      <w:marTop w:val="0"/>
      <w:marBottom w:val="0"/>
      <w:divBdr>
        <w:top w:val="none" w:sz="0" w:space="0" w:color="auto"/>
        <w:left w:val="none" w:sz="0" w:space="0" w:color="auto"/>
        <w:bottom w:val="none" w:sz="0" w:space="0" w:color="auto"/>
        <w:right w:val="none" w:sz="0" w:space="0" w:color="auto"/>
      </w:divBdr>
    </w:div>
    <w:div w:id="500199796">
      <w:bodyDiv w:val="1"/>
      <w:marLeft w:val="0"/>
      <w:marRight w:val="0"/>
      <w:marTop w:val="0"/>
      <w:marBottom w:val="0"/>
      <w:divBdr>
        <w:top w:val="none" w:sz="0" w:space="0" w:color="auto"/>
        <w:left w:val="none" w:sz="0" w:space="0" w:color="auto"/>
        <w:bottom w:val="none" w:sz="0" w:space="0" w:color="auto"/>
        <w:right w:val="none" w:sz="0" w:space="0" w:color="auto"/>
      </w:divBdr>
    </w:div>
    <w:div w:id="503781316">
      <w:bodyDiv w:val="1"/>
      <w:marLeft w:val="0"/>
      <w:marRight w:val="0"/>
      <w:marTop w:val="0"/>
      <w:marBottom w:val="0"/>
      <w:divBdr>
        <w:top w:val="none" w:sz="0" w:space="0" w:color="auto"/>
        <w:left w:val="none" w:sz="0" w:space="0" w:color="auto"/>
        <w:bottom w:val="none" w:sz="0" w:space="0" w:color="auto"/>
        <w:right w:val="none" w:sz="0" w:space="0" w:color="auto"/>
      </w:divBdr>
    </w:div>
    <w:div w:id="506990215">
      <w:bodyDiv w:val="1"/>
      <w:marLeft w:val="0"/>
      <w:marRight w:val="0"/>
      <w:marTop w:val="0"/>
      <w:marBottom w:val="0"/>
      <w:divBdr>
        <w:top w:val="none" w:sz="0" w:space="0" w:color="auto"/>
        <w:left w:val="none" w:sz="0" w:space="0" w:color="auto"/>
        <w:bottom w:val="none" w:sz="0" w:space="0" w:color="auto"/>
        <w:right w:val="none" w:sz="0" w:space="0" w:color="auto"/>
      </w:divBdr>
    </w:div>
    <w:div w:id="516773035">
      <w:bodyDiv w:val="1"/>
      <w:marLeft w:val="0"/>
      <w:marRight w:val="0"/>
      <w:marTop w:val="0"/>
      <w:marBottom w:val="0"/>
      <w:divBdr>
        <w:top w:val="none" w:sz="0" w:space="0" w:color="auto"/>
        <w:left w:val="none" w:sz="0" w:space="0" w:color="auto"/>
        <w:bottom w:val="none" w:sz="0" w:space="0" w:color="auto"/>
        <w:right w:val="none" w:sz="0" w:space="0" w:color="auto"/>
      </w:divBdr>
    </w:div>
    <w:div w:id="518398017">
      <w:bodyDiv w:val="1"/>
      <w:marLeft w:val="0"/>
      <w:marRight w:val="0"/>
      <w:marTop w:val="0"/>
      <w:marBottom w:val="0"/>
      <w:divBdr>
        <w:top w:val="none" w:sz="0" w:space="0" w:color="auto"/>
        <w:left w:val="none" w:sz="0" w:space="0" w:color="auto"/>
        <w:bottom w:val="none" w:sz="0" w:space="0" w:color="auto"/>
        <w:right w:val="none" w:sz="0" w:space="0" w:color="auto"/>
      </w:divBdr>
    </w:div>
    <w:div w:id="519389927">
      <w:bodyDiv w:val="1"/>
      <w:marLeft w:val="0"/>
      <w:marRight w:val="0"/>
      <w:marTop w:val="0"/>
      <w:marBottom w:val="0"/>
      <w:divBdr>
        <w:top w:val="none" w:sz="0" w:space="0" w:color="auto"/>
        <w:left w:val="none" w:sz="0" w:space="0" w:color="auto"/>
        <w:bottom w:val="none" w:sz="0" w:space="0" w:color="auto"/>
        <w:right w:val="none" w:sz="0" w:space="0" w:color="auto"/>
      </w:divBdr>
    </w:div>
    <w:div w:id="526261361">
      <w:bodyDiv w:val="1"/>
      <w:marLeft w:val="0"/>
      <w:marRight w:val="0"/>
      <w:marTop w:val="0"/>
      <w:marBottom w:val="0"/>
      <w:divBdr>
        <w:top w:val="none" w:sz="0" w:space="0" w:color="auto"/>
        <w:left w:val="none" w:sz="0" w:space="0" w:color="auto"/>
        <w:bottom w:val="none" w:sz="0" w:space="0" w:color="auto"/>
        <w:right w:val="none" w:sz="0" w:space="0" w:color="auto"/>
      </w:divBdr>
    </w:div>
    <w:div w:id="531573403">
      <w:bodyDiv w:val="1"/>
      <w:marLeft w:val="0"/>
      <w:marRight w:val="0"/>
      <w:marTop w:val="0"/>
      <w:marBottom w:val="0"/>
      <w:divBdr>
        <w:top w:val="none" w:sz="0" w:space="0" w:color="auto"/>
        <w:left w:val="none" w:sz="0" w:space="0" w:color="auto"/>
        <w:bottom w:val="none" w:sz="0" w:space="0" w:color="auto"/>
        <w:right w:val="none" w:sz="0" w:space="0" w:color="auto"/>
      </w:divBdr>
    </w:div>
    <w:div w:id="538317514">
      <w:bodyDiv w:val="1"/>
      <w:marLeft w:val="0"/>
      <w:marRight w:val="0"/>
      <w:marTop w:val="0"/>
      <w:marBottom w:val="0"/>
      <w:divBdr>
        <w:top w:val="none" w:sz="0" w:space="0" w:color="auto"/>
        <w:left w:val="none" w:sz="0" w:space="0" w:color="auto"/>
        <w:bottom w:val="none" w:sz="0" w:space="0" w:color="auto"/>
        <w:right w:val="none" w:sz="0" w:space="0" w:color="auto"/>
      </w:divBdr>
    </w:div>
    <w:div w:id="541552689">
      <w:bodyDiv w:val="1"/>
      <w:marLeft w:val="0"/>
      <w:marRight w:val="0"/>
      <w:marTop w:val="0"/>
      <w:marBottom w:val="0"/>
      <w:divBdr>
        <w:top w:val="none" w:sz="0" w:space="0" w:color="auto"/>
        <w:left w:val="none" w:sz="0" w:space="0" w:color="auto"/>
        <w:bottom w:val="none" w:sz="0" w:space="0" w:color="auto"/>
        <w:right w:val="none" w:sz="0" w:space="0" w:color="auto"/>
      </w:divBdr>
    </w:div>
    <w:div w:id="554122124">
      <w:bodyDiv w:val="1"/>
      <w:marLeft w:val="0"/>
      <w:marRight w:val="0"/>
      <w:marTop w:val="0"/>
      <w:marBottom w:val="0"/>
      <w:divBdr>
        <w:top w:val="none" w:sz="0" w:space="0" w:color="auto"/>
        <w:left w:val="none" w:sz="0" w:space="0" w:color="auto"/>
        <w:bottom w:val="none" w:sz="0" w:space="0" w:color="auto"/>
        <w:right w:val="none" w:sz="0" w:space="0" w:color="auto"/>
      </w:divBdr>
    </w:div>
    <w:div w:id="554313435">
      <w:bodyDiv w:val="1"/>
      <w:marLeft w:val="0"/>
      <w:marRight w:val="0"/>
      <w:marTop w:val="0"/>
      <w:marBottom w:val="0"/>
      <w:divBdr>
        <w:top w:val="none" w:sz="0" w:space="0" w:color="auto"/>
        <w:left w:val="none" w:sz="0" w:space="0" w:color="auto"/>
        <w:bottom w:val="none" w:sz="0" w:space="0" w:color="auto"/>
        <w:right w:val="none" w:sz="0" w:space="0" w:color="auto"/>
      </w:divBdr>
    </w:div>
    <w:div w:id="557475204">
      <w:bodyDiv w:val="1"/>
      <w:marLeft w:val="0"/>
      <w:marRight w:val="0"/>
      <w:marTop w:val="0"/>
      <w:marBottom w:val="0"/>
      <w:divBdr>
        <w:top w:val="none" w:sz="0" w:space="0" w:color="auto"/>
        <w:left w:val="none" w:sz="0" w:space="0" w:color="auto"/>
        <w:bottom w:val="none" w:sz="0" w:space="0" w:color="auto"/>
        <w:right w:val="none" w:sz="0" w:space="0" w:color="auto"/>
      </w:divBdr>
    </w:div>
    <w:div w:id="567494866">
      <w:bodyDiv w:val="1"/>
      <w:marLeft w:val="0"/>
      <w:marRight w:val="0"/>
      <w:marTop w:val="0"/>
      <w:marBottom w:val="0"/>
      <w:divBdr>
        <w:top w:val="none" w:sz="0" w:space="0" w:color="auto"/>
        <w:left w:val="none" w:sz="0" w:space="0" w:color="auto"/>
        <w:bottom w:val="none" w:sz="0" w:space="0" w:color="auto"/>
        <w:right w:val="none" w:sz="0" w:space="0" w:color="auto"/>
      </w:divBdr>
    </w:div>
    <w:div w:id="578372741">
      <w:bodyDiv w:val="1"/>
      <w:marLeft w:val="0"/>
      <w:marRight w:val="0"/>
      <w:marTop w:val="0"/>
      <w:marBottom w:val="0"/>
      <w:divBdr>
        <w:top w:val="none" w:sz="0" w:space="0" w:color="auto"/>
        <w:left w:val="none" w:sz="0" w:space="0" w:color="auto"/>
        <w:bottom w:val="none" w:sz="0" w:space="0" w:color="auto"/>
        <w:right w:val="none" w:sz="0" w:space="0" w:color="auto"/>
      </w:divBdr>
    </w:div>
    <w:div w:id="589200815">
      <w:bodyDiv w:val="1"/>
      <w:marLeft w:val="0"/>
      <w:marRight w:val="0"/>
      <w:marTop w:val="0"/>
      <w:marBottom w:val="0"/>
      <w:divBdr>
        <w:top w:val="none" w:sz="0" w:space="0" w:color="auto"/>
        <w:left w:val="none" w:sz="0" w:space="0" w:color="auto"/>
        <w:bottom w:val="none" w:sz="0" w:space="0" w:color="auto"/>
        <w:right w:val="none" w:sz="0" w:space="0" w:color="auto"/>
      </w:divBdr>
    </w:div>
    <w:div w:id="595283723">
      <w:bodyDiv w:val="1"/>
      <w:marLeft w:val="0"/>
      <w:marRight w:val="0"/>
      <w:marTop w:val="0"/>
      <w:marBottom w:val="0"/>
      <w:divBdr>
        <w:top w:val="none" w:sz="0" w:space="0" w:color="auto"/>
        <w:left w:val="none" w:sz="0" w:space="0" w:color="auto"/>
        <w:bottom w:val="none" w:sz="0" w:space="0" w:color="auto"/>
        <w:right w:val="none" w:sz="0" w:space="0" w:color="auto"/>
      </w:divBdr>
    </w:div>
    <w:div w:id="599526898">
      <w:bodyDiv w:val="1"/>
      <w:marLeft w:val="0"/>
      <w:marRight w:val="0"/>
      <w:marTop w:val="0"/>
      <w:marBottom w:val="0"/>
      <w:divBdr>
        <w:top w:val="none" w:sz="0" w:space="0" w:color="auto"/>
        <w:left w:val="none" w:sz="0" w:space="0" w:color="auto"/>
        <w:bottom w:val="none" w:sz="0" w:space="0" w:color="auto"/>
        <w:right w:val="none" w:sz="0" w:space="0" w:color="auto"/>
      </w:divBdr>
    </w:div>
    <w:div w:id="602345560">
      <w:bodyDiv w:val="1"/>
      <w:marLeft w:val="0"/>
      <w:marRight w:val="0"/>
      <w:marTop w:val="0"/>
      <w:marBottom w:val="0"/>
      <w:divBdr>
        <w:top w:val="none" w:sz="0" w:space="0" w:color="auto"/>
        <w:left w:val="none" w:sz="0" w:space="0" w:color="auto"/>
        <w:bottom w:val="none" w:sz="0" w:space="0" w:color="auto"/>
        <w:right w:val="none" w:sz="0" w:space="0" w:color="auto"/>
      </w:divBdr>
    </w:div>
    <w:div w:id="606814949">
      <w:bodyDiv w:val="1"/>
      <w:marLeft w:val="0"/>
      <w:marRight w:val="0"/>
      <w:marTop w:val="0"/>
      <w:marBottom w:val="0"/>
      <w:divBdr>
        <w:top w:val="none" w:sz="0" w:space="0" w:color="auto"/>
        <w:left w:val="none" w:sz="0" w:space="0" w:color="auto"/>
        <w:bottom w:val="none" w:sz="0" w:space="0" w:color="auto"/>
        <w:right w:val="none" w:sz="0" w:space="0" w:color="auto"/>
      </w:divBdr>
    </w:div>
    <w:div w:id="607005367">
      <w:bodyDiv w:val="1"/>
      <w:marLeft w:val="0"/>
      <w:marRight w:val="0"/>
      <w:marTop w:val="0"/>
      <w:marBottom w:val="0"/>
      <w:divBdr>
        <w:top w:val="none" w:sz="0" w:space="0" w:color="auto"/>
        <w:left w:val="none" w:sz="0" w:space="0" w:color="auto"/>
        <w:bottom w:val="none" w:sz="0" w:space="0" w:color="auto"/>
        <w:right w:val="none" w:sz="0" w:space="0" w:color="auto"/>
      </w:divBdr>
    </w:div>
    <w:div w:id="607010456">
      <w:bodyDiv w:val="1"/>
      <w:marLeft w:val="0"/>
      <w:marRight w:val="0"/>
      <w:marTop w:val="0"/>
      <w:marBottom w:val="0"/>
      <w:divBdr>
        <w:top w:val="none" w:sz="0" w:space="0" w:color="auto"/>
        <w:left w:val="none" w:sz="0" w:space="0" w:color="auto"/>
        <w:bottom w:val="none" w:sz="0" w:space="0" w:color="auto"/>
        <w:right w:val="none" w:sz="0" w:space="0" w:color="auto"/>
      </w:divBdr>
    </w:div>
    <w:div w:id="609894069">
      <w:bodyDiv w:val="1"/>
      <w:marLeft w:val="0"/>
      <w:marRight w:val="0"/>
      <w:marTop w:val="0"/>
      <w:marBottom w:val="0"/>
      <w:divBdr>
        <w:top w:val="none" w:sz="0" w:space="0" w:color="auto"/>
        <w:left w:val="none" w:sz="0" w:space="0" w:color="auto"/>
        <w:bottom w:val="none" w:sz="0" w:space="0" w:color="auto"/>
        <w:right w:val="none" w:sz="0" w:space="0" w:color="auto"/>
      </w:divBdr>
    </w:div>
    <w:div w:id="616647037">
      <w:bodyDiv w:val="1"/>
      <w:marLeft w:val="0"/>
      <w:marRight w:val="0"/>
      <w:marTop w:val="0"/>
      <w:marBottom w:val="0"/>
      <w:divBdr>
        <w:top w:val="none" w:sz="0" w:space="0" w:color="auto"/>
        <w:left w:val="none" w:sz="0" w:space="0" w:color="auto"/>
        <w:bottom w:val="none" w:sz="0" w:space="0" w:color="auto"/>
        <w:right w:val="none" w:sz="0" w:space="0" w:color="auto"/>
      </w:divBdr>
    </w:div>
    <w:div w:id="617222330">
      <w:bodyDiv w:val="1"/>
      <w:marLeft w:val="0"/>
      <w:marRight w:val="0"/>
      <w:marTop w:val="0"/>
      <w:marBottom w:val="0"/>
      <w:divBdr>
        <w:top w:val="none" w:sz="0" w:space="0" w:color="auto"/>
        <w:left w:val="none" w:sz="0" w:space="0" w:color="auto"/>
        <w:bottom w:val="none" w:sz="0" w:space="0" w:color="auto"/>
        <w:right w:val="none" w:sz="0" w:space="0" w:color="auto"/>
      </w:divBdr>
    </w:div>
    <w:div w:id="620378851">
      <w:bodyDiv w:val="1"/>
      <w:marLeft w:val="0"/>
      <w:marRight w:val="0"/>
      <w:marTop w:val="0"/>
      <w:marBottom w:val="0"/>
      <w:divBdr>
        <w:top w:val="none" w:sz="0" w:space="0" w:color="auto"/>
        <w:left w:val="none" w:sz="0" w:space="0" w:color="auto"/>
        <w:bottom w:val="none" w:sz="0" w:space="0" w:color="auto"/>
        <w:right w:val="none" w:sz="0" w:space="0" w:color="auto"/>
      </w:divBdr>
    </w:div>
    <w:div w:id="625281296">
      <w:bodyDiv w:val="1"/>
      <w:marLeft w:val="0"/>
      <w:marRight w:val="0"/>
      <w:marTop w:val="0"/>
      <w:marBottom w:val="0"/>
      <w:divBdr>
        <w:top w:val="none" w:sz="0" w:space="0" w:color="auto"/>
        <w:left w:val="none" w:sz="0" w:space="0" w:color="auto"/>
        <w:bottom w:val="none" w:sz="0" w:space="0" w:color="auto"/>
        <w:right w:val="none" w:sz="0" w:space="0" w:color="auto"/>
      </w:divBdr>
    </w:div>
    <w:div w:id="625889388">
      <w:bodyDiv w:val="1"/>
      <w:marLeft w:val="0"/>
      <w:marRight w:val="0"/>
      <w:marTop w:val="0"/>
      <w:marBottom w:val="0"/>
      <w:divBdr>
        <w:top w:val="none" w:sz="0" w:space="0" w:color="auto"/>
        <w:left w:val="none" w:sz="0" w:space="0" w:color="auto"/>
        <w:bottom w:val="none" w:sz="0" w:space="0" w:color="auto"/>
        <w:right w:val="none" w:sz="0" w:space="0" w:color="auto"/>
      </w:divBdr>
    </w:div>
    <w:div w:id="626158410">
      <w:bodyDiv w:val="1"/>
      <w:marLeft w:val="0"/>
      <w:marRight w:val="0"/>
      <w:marTop w:val="0"/>
      <w:marBottom w:val="0"/>
      <w:divBdr>
        <w:top w:val="none" w:sz="0" w:space="0" w:color="auto"/>
        <w:left w:val="none" w:sz="0" w:space="0" w:color="auto"/>
        <w:bottom w:val="none" w:sz="0" w:space="0" w:color="auto"/>
        <w:right w:val="none" w:sz="0" w:space="0" w:color="auto"/>
      </w:divBdr>
    </w:div>
    <w:div w:id="626593498">
      <w:bodyDiv w:val="1"/>
      <w:marLeft w:val="0"/>
      <w:marRight w:val="0"/>
      <w:marTop w:val="0"/>
      <w:marBottom w:val="0"/>
      <w:divBdr>
        <w:top w:val="none" w:sz="0" w:space="0" w:color="auto"/>
        <w:left w:val="none" w:sz="0" w:space="0" w:color="auto"/>
        <w:bottom w:val="none" w:sz="0" w:space="0" w:color="auto"/>
        <w:right w:val="none" w:sz="0" w:space="0" w:color="auto"/>
      </w:divBdr>
    </w:div>
    <w:div w:id="631784956">
      <w:bodyDiv w:val="1"/>
      <w:marLeft w:val="0"/>
      <w:marRight w:val="0"/>
      <w:marTop w:val="0"/>
      <w:marBottom w:val="0"/>
      <w:divBdr>
        <w:top w:val="none" w:sz="0" w:space="0" w:color="auto"/>
        <w:left w:val="none" w:sz="0" w:space="0" w:color="auto"/>
        <w:bottom w:val="none" w:sz="0" w:space="0" w:color="auto"/>
        <w:right w:val="none" w:sz="0" w:space="0" w:color="auto"/>
      </w:divBdr>
    </w:div>
    <w:div w:id="645085931">
      <w:bodyDiv w:val="1"/>
      <w:marLeft w:val="0"/>
      <w:marRight w:val="0"/>
      <w:marTop w:val="0"/>
      <w:marBottom w:val="0"/>
      <w:divBdr>
        <w:top w:val="none" w:sz="0" w:space="0" w:color="auto"/>
        <w:left w:val="none" w:sz="0" w:space="0" w:color="auto"/>
        <w:bottom w:val="none" w:sz="0" w:space="0" w:color="auto"/>
        <w:right w:val="none" w:sz="0" w:space="0" w:color="auto"/>
      </w:divBdr>
    </w:div>
    <w:div w:id="656612632">
      <w:bodyDiv w:val="1"/>
      <w:marLeft w:val="0"/>
      <w:marRight w:val="0"/>
      <w:marTop w:val="0"/>
      <w:marBottom w:val="0"/>
      <w:divBdr>
        <w:top w:val="none" w:sz="0" w:space="0" w:color="auto"/>
        <w:left w:val="none" w:sz="0" w:space="0" w:color="auto"/>
        <w:bottom w:val="none" w:sz="0" w:space="0" w:color="auto"/>
        <w:right w:val="none" w:sz="0" w:space="0" w:color="auto"/>
      </w:divBdr>
    </w:div>
    <w:div w:id="670329100">
      <w:bodyDiv w:val="1"/>
      <w:marLeft w:val="0"/>
      <w:marRight w:val="0"/>
      <w:marTop w:val="0"/>
      <w:marBottom w:val="0"/>
      <w:divBdr>
        <w:top w:val="none" w:sz="0" w:space="0" w:color="auto"/>
        <w:left w:val="none" w:sz="0" w:space="0" w:color="auto"/>
        <w:bottom w:val="none" w:sz="0" w:space="0" w:color="auto"/>
        <w:right w:val="none" w:sz="0" w:space="0" w:color="auto"/>
      </w:divBdr>
    </w:div>
    <w:div w:id="670911122">
      <w:bodyDiv w:val="1"/>
      <w:marLeft w:val="0"/>
      <w:marRight w:val="0"/>
      <w:marTop w:val="0"/>
      <w:marBottom w:val="0"/>
      <w:divBdr>
        <w:top w:val="none" w:sz="0" w:space="0" w:color="auto"/>
        <w:left w:val="none" w:sz="0" w:space="0" w:color="auto"/>
        <w:bottom w:val="none" w:sz="0" w:space="0" w:color="auto"/>
        <w:right w:val="none" w:sz="0" w:space="0" w:color="auto"/>
      </w:divBdr>
    </w:div>
    <w:div w:id="670916237">
      <w:bodyDiv w:val="1"/>
      <w:marLeft w:val="0"/>
      <w:marRight w:val="0"/>
      <w:marTop w:val="0"/>
      <w:marBottom w:val="0"/>
      <w:divBdr>
        <w:top w:val="none" w:sz="0" w:space="0" w:color="auto"/>
        <w:left w:val="none" w:sz="0" w:space="0" w:color="auto"/>
        <w:bottom w:val="none" w:sz="0" w:space="0" w:color="auto"/>
        <w:right w:val="none" w:sz="0" w:space="0" w:color="auto"/>
      </w:divBdr>
    </w:div>
    <w:div w:id="673608795">
      <w:bodyDiv w:val="1"/>
      <w:marLeft w:val="0"/>
      <w:marRight w:val="0"/>
      <w:marTop w:val="0"/>
      <w:marBottom w:val="0"/>
      <w:divBdr>
        <w:top w:val="none" w:sz="0" w:space="0" w:color="auto"/>
        <w:left w:val="none" w:sz="0" w:space="0" w:color="auto"/>
        <w:bottom w:val="none" w:sz="0" w:space="0" w:color="auto"/>
        <w:right w:val="none" w:sz="0" w:space="0" w:color="auto"/>
      </w:divBdr>
    </w:div>
    <w:div w:id="673993262">
      <w:bodyDiv w:val="1"/>
      <w:marLeft w:val="0"/>
      <w:marRight w:val="0"/>
      <w:marTop w:val="0"/>
      <w:marBottom w:val="0"/>
      <w:divBdr>
        <w:top w:val="none" w:sz="0" w:space="0" w:color="auto"/>
        <w:left w:val="none" w:sz="0" w:space="0" w:color="auto"/>
        <w:bottom w:val="none" w:sz="0" w:space="0" w:color="auto"/>
        <w:right w:val="none" w:sz="0" w:space="0" w:color="auto"/>
      </w:divBdr>
    </w:div>
    <w:div w:id="675226974">
      <w:bodyDiv w:val="1"/>
      <w:marLeft w:val="0"/>
      <w:marRight w:val="0"/>
      <w:marTop w:val="0"/>
      <w:marBottom w:val="0"/>
      <w:divBdr>
        <w:top w:val="none" w:sz="0" w:space="0" w:color="auto"/>
        <w:left w:val="none" w:sz="0" w:space="0" w:color="auto"/>
        <w:bottom w:val="none" w:sz="0" w:space="0" w:color="auto"/>
        <w:right w:val="none" w:sz="0" w:space="0" w:color="auto"/>
      </w:divBdr>
    </w:div>
    <w:div w:id="676425496">
      <w:bodyDiv w:val="1"/>
      <w:marLeft w:val="0"/>
      <w:marRight w:val="0"/>
      <w:marTop w:val="0"/>
      <w:marBottom w:val="0"/>
      <w:divBdr>
        <w:top w:val="none" w:sz="0" w:space="0" w:color="auto"/>
        <w:left w:val="none" w:sz="0" w:space="0" w:color="auto"/>
        <w:bottom w:val="none" w:sz="0" w:space="0" w:color="auto"/>
        <w:right w:val="none" w:sz="0" w:space="0" w:color="auto"/>
      </w:divBdr>
    </w:div>
    <w:div w:id="677582922">
      <w:bodyDiv w:val="1"/>
      <w:marLeft w:val="0"/>
      <w:marRight w:val="0"/>
      <w:marTop w:val="0"/>
      <w:marBottom w:val="0"/>
      <w:divBdr>
        <w:top w:val="none" w:sz="0" w:space="0" w:color="auto"/>
        <w:left w:val="none" w:sz="0" w:space="0" w:color="auto"/>
        <w:bottom w:val="none" w:sz="0" w:space="0" w:color="auto"/>
        <w:right w:val="none" w:sz="0" w:space="0" w:color="auto"/>
      </w:divBdr>
    </w:div>
    <w:div w:id="680202332">
      <w:bodyDiv w:val="1"/>
      <w:marLeft w:val="0"/>
      <w:marRight w:val="0"/>
      <w:marTop w:val="0"/>
      <w:marBottom w:val="0"/>
      <w:divBdr>
        <w:top w:val="none" w:sz="0" w:space="0" w:color="auto"/>
        <w:left w:val="none" w:sz="0" w:space="0" w:color="auto"/>
        <w:bottom w:val="none" w:sz="0" w:space="0" w:color="auto"/>
        <w:right w:val="none" w:sz="0" w:space="0" w:color="auto"/>
      </w:divBdr>
    </w:div>
    <w:div w:id="685403522">
      <w:bodyDiv w:val="1"/>
      <w:marLeft w:val="0"/>
      <w:marRight w:val="0"/>
      <w:marTop w:val="0"/>
      <w:marBottom w:val="0"/>
      <w:divBdr>
        <w:top w:val="none" w:sz="0" w:space="0" w:color="auto"/>
        <w:left w:val="none" w:sz="0" w:space="0" w:color="auto"/>
        <w:bottom w:val="none" w:sz="0" w:space="0" w:color="auto"/>
        <w:right w:val="none" w:sz="0" w:space="0" w:color="auto"/>
      </w:divBdr>
    </w:div>
    <w:div w:id="689798843">
      <w:bodyDiv w:val="1"/>
      <w:marLeft w:val="0"/>
      <w:marRight w:val="0"/>
      <w:marTop w:val="0"/>
      <w:marBottom w:val="0"/>
      <w:divBdr>
        <w:top w:val="none" w:sz="0" w:space="0" w:color="auto"/>
        <w:left w:val="none" w:sz="0" w:space="0" w:color="auto"/>
        <w:bottom w:val="none" w:sz="0" w:space="0" w:color="auto"/>
        <w:right w:val="none" w:sz="0" w:space="0" w:color="auto"/>
      </w:divBdr>
    </w:div>
    <w:div w:id="697048972">
      <w:bodyDiv w:val="1"/>
      <w:marLeft w:val="0"/>
      <w:marRight w:val="0"/>
      <w:marTop w:val="0"/>
      <w:marBottom w:val="0"/>
      <w:divBdr>
        <w:top w:val="none" w:sz="0" w:space="0" w:color="auto"/>
        <w:left w:val="none" w:sz="0" w:space="0" w:color="auto"/>
        <w:bottom w:val="none" w:sz="0" w:space="0" w:color="auto"/>
        <w:right w:val="none" w:sz="0" w:space="0" w:color="auto"/>
      </w:divBdr>
    </w:div>
    <w:div w:id="707143241">
      <w:bodyDiv w:val="1"/>
      <w:marLeft w:val="0"/>
      <w:marRight w:val="0"/>
      <w:marTop w:val="0"/>
      <w:marBottom w:val="0"/>
      <w:divBdr>
        <w:top w:val="none" w:sz="0" w:space="0" w:color="auto"/>
        <w:left w:val="none" w:sz="0" w:space="0" w:color="auto"/>
        <w:bottom w:val="none" w:sz="0" w:space="0" w:color="auto"/>
        <w:right w:val="none" w:sz="0" w:space="0" w:color="auto"/>
      </w:divBdr>
    </w:div>
    <w:div w:id="711425183">
      <w:bodyDiv w:val="1"/>
      <w:marLeft w:val="0"/>
      <w:marRight w:val="0"/>
      <w:marTop w:val="0"/>
      <w:marBottom w:val="0"/>
      <w:divBdr>
        <w:top w:val="none" w:sz="0" w:space="0" w:color="auto"/>
        <w:left w:val="none" w:sz="0" w:space="0" w:color="auto"/>
        <w:bottom w:val="none" w:sz="0" w:space="0" w:color="auto"/>
        <w:right w:val="none" w:sz="0" w:space="0" w:color="auto"/>
      </w:divBdr>
    </w:div>
    <w:div w:id="711884646">
      <w:bodyDiv w:val="1"/>
      <w:marLeft w:val="0"/>
      <w:marRight w:val="0"/>
      <w:marTop w:val="0"/>
      <w:marBottom w:val="0"/>
      <w:divBdr>
        <w:top w:val="none" w:sz="0" w:space="0" w:color="auto"/>
        <w:left w:val="none" w:sz="0" w:space="0" w:color="auto"/>
        <w:bottom w:val="none" w:sz="0" w:space="0" w:color="auto"/>
        <w:right w:val="none" w:sz="0" w:space="0" w:color="auto"/>
      </w:divBdr>
    </w:div>
    <w:div w:id="712769899">
      <w:bodyDiv w:val="1"/>
      <w:marLeft w:val="0"/>
      <w:marRight w:val="0"/>
      <w:marTop w:val="0"/>
      <w:marBottom w:val="0"/>
      <w:divBdr>
        <w:top w:val="none" w:sz="0" w:space="0" w:color="auto"/>
        <w:left w:val="none" w:sz="0" w:space="0" w:color="auto"/>
        <w:bottom w:val="none" w:sz="0" w:space="0" w:color="auto"/>
        <w:right w:val="none" w:sz="0" w:space="0" w:color="auto"/>
      </w:divBdr>
      <w:divsChild>
        <w:div w:id="302782390">
          <w:marLeft w:val="0"/>
          <w:marRight w:val="0"/>
          <w:marTop w:val="0"/>
          <w:marBottom w:val="0"/>
          <w:divBdr>
            <w:top w:val="none" w:sz="0" w:space="0" w:color="auto"/>
            <w:left w:val="none" w:sz="0" w:space="0" w:color="auto"/>
            <w:bottom w:val="none" w:sz="0" w:space="0" w:color="auto"/>
            <w:right w:val="none" w:sz="0" w:space="0" w:color="auto"/>
          </w:divBdr>
          <w:divsChild>
            <w:div w:id="1708142189">
              <w:marLeft w:val="0"/>
              <w:marRight w:val="0"/>
              <w:marTop w:val="0"/>
              <w:marBottom w:val="0"/>
              <w:divBdr>
                <w:top w:val="none" w:sz="0" w:space="0" w:color="auto"/>
                <w:left w:val="none" w:sz="0" w:space="0" w:color="auto"/>
                <w:bottom w:val="none" w:sz="0" w:space="0" w:color="auto"/>
                <w:right w:val="none" w:sz="0" w:space="0" w:color="auto"/>
              </w:divBdr>
              <w:divsChild>
                <w:div w:id="1814060531">
                  <w:marLeft w:val="0"/>
                  <w:marRight w:val="0"/>
                  <w:marTop w:val="0"/>
                  <w:marBottom w:val="0"/>
                  <w:divBdr>
                    <w:top w:val="none" w:sz="0" w:space="0" w:color="auto"/>
                    <w:left w:val="none" w:sz="0" w:space="0" w:color="auto"/>
                    <w:bottom w:val="none" w:sz="0" w:space="0" w:color="auto"/>
                    <w:right w:val="none" w:sz="0" w:space="0" w:color="auto"/>
                  </w:divBdr>
                  <w:divsChild>
                    <w:div w:id="2008824549">
                      <w:marLeft w:val="0"/>
                      <w:marRight w:val="0"/>
                      <w:marTop w:val="0"/>
                      <w:marBottom w:val="0"/>
                      <w:divBdr>
                        <w:top w:val="none" w:sz="0" w:space="0" w:color="auto"/>
                        <w:left w:val="none" w:sz="0" w:space="0" w:color="auto"/>
                        <w:bottom w:val="none" w:sz="0" w:space="0" w:color="auto"/>
                        <w:right w:val="none" w:sz="0" w:space="0" w:color="auto"/>
                      </w:divBdr>
                      <w:divsChild>
                        <w:div w:id="746802771">
                          <w:marLeft w:val="0"/>
                          <w:marRight w:val="0"/>
                          <w:marTop w:val="0"/>
                          <w:marBottom w:val="0"/>
                          <w:divBdr>
                            <w:top w:val="none" w:sz="0" w:space="0" w:color="auto"/>
                            <w:left w:val="none" w:sz="0" w:space="0" w:color="auto"/>
                            <w:bottom w:val="none" w:sz="0" w:space="0" w:color="auto"/>
                            <w:right w:val="none" w:sz="0" w:space="0" w:color="auto"/>
                          </w:divBdr>
                          <w:divsChild>
                            <w:div w:id="834808162">
                              <w:marLeft w:val="0"/>
                              <w:marRight w:val="0"/>
                              <w:marTop w:val="0"/>
                              <w:marBottom w:val="0"/>
                              <w:divBdr>
                                <w:top w:val="none" w:sz="0" w:space="0" w:color="auto"/>
                                <w:left w:val="none" w:sz="0" w:space="0" w:color="auto"/>
                                <w:bottom w:val="none" w:sz="0" w:space="0" w:color="auto"/>
                                <w:right w:val="none" w:sz="0" w:space="0" w:color="auto"/>
                              </w:divBdr>
                              <w:divsChild>
                                <w:div w:id="1750613368">
                                  <w:marLeft w:val="0"/>
                                  <w:marRight w:val="0"/>
                                  <w:marTop w:val="0"/>
                                  <w:marBottom w:val="0"/>
                                  <w:divBdr>
                                    <w:top w:val="none" w:sz="0" w:space="0" w:color="auto"/>
                                    <w:left w:val="none" w:sz="0" w:space="0" w:color="auto"/>
                                    <w:bottom w:val="none" w:sz="0" w:space="0" w:color="auto"/>
                                    <w:right w:val="none" w:sz="0" w:space="0" w:color="auto"/>
                                  </w:divBdr>
                                  <w:divsChild>
                                    <w:div w:id="154226603">
                                      <w:marLeft w:val="0"/>
                                      <w:marRight w:val="0"/>
                                      <w:marTop w:val="0"/>
                                      <w:marBottom w:val="0"/>
                                      <w:divBdr>
                                        <w:top w:val="none" w:sz="0" w:space="0" w:color="auto"/>
                                        <w:left w:val="none" w:sz="0" w:space="0" w:color="auto"/>
                                        <w:bottom w:val="none" w:sz="0" w:space="0" w:color="auto"/>
                                        <w:right w:val="none" w:sz="0" w:space="0" w:color="auto"/>
                                      </w:divBdr>
                                      <w:divsChild>
                                        <w:div w:id="2012371427">
                                          <w:marLeft w:val="0"/>
                                          <w:marRight w:val="0"/>
                                          <w:marTop w:val="0"/>
                                          <w:marBottom w:val="0"/>
                                          <w:divBdr>
                                            <w:top w:val="none" w:sz="0" w:space="0" w:color="auto"/>
                                            <w:left w:val="none" w:sz="0" w:space="0" w:color="auto"/>
                                            <w:bottom w:val="none" w:sz="0" w:space="0" w:color="auto"/>
                                            <w:right w:val="none" w:sz="0" w:space="0" w:color="auto"/>
                                          </w:divBdr>
                                          <w:divsChild>
                                            <w:div w:id="2136097529">
                                              <w:marLeft w:val="0"/>
                                              <w:marRight w:val="0"/>
                                              <w:marTop w:val="0"/>
                                              <w:marBottom w:val="0"/>
                                              <w:divBdr>
                                                <w:top w:val="none" w:sz="0" w:space="0" w:color="auto"/>
                                                <w:left w:val="none" w:sz="0" w:space="0" w:color="auto"/>
                                                <w:bottom w:val="none" w:sz="0" w:space="0" w:color="auto"/>
                                                <w:right w:val="none" w:sz="0" w:space="0" w:color="auto"/>
                                              </w:divBdr>
                                              <w:divsChild>
                                                <w:div w:id="170948549">
                                                  <w:marLeft w:val="0"/>
                                                  <w:marRight w:val="0"/>
                                                  <w:marTop w:val="0"/>
                                                  <w:marBottom w:val="540"/>
                                                  <w:divBdr>
                                                    <w:top w:val="none" w:sz="0" w:space="0" w:color="auto"/>
                                                    <w:left w:val="none" w:sz="0" w:space="0" w:color="auto"/>
                                                    <w:bottom w:val="none" w:sz="0" w:space="0" w:color="auto"/>
                                                    <w:right w:val="none" w:sz="0" w:space="0" w:color="auto"/>
                                                  </w:divBdr>
                                                  <w:divsChild>
                                                    <w:div w:id="1500347361">
                                                      <w:marLeft w:val="0"/>
                                                      <w:marRight w:val="0"/>
                                                      <w:marTop w:val="0"/>
                                                      <w:marBottom w:val="0"/>
                                                      <w:divBdr>
                                                        <w:top w:val="none" w:sz="0" w:space="0" w:color="auto"/>
                                                        <w:left w:val="none" w:sz="0" w:space="0" w:color="auto"/>
                                                        <w:bottom w:val="none" w:sz="0" w:space="0" w:color="auto"/>
                                                        <w:right w:val="none" w:sz="0" w:space="0" w:color="auto"/>
                                                      </w:divBdr>
                                                      <w:divsChild>
                                                        <w:div w:id="1833137229">
                                                          <w:marLeft w:val="0"/>
                                                          <w:marRight w:val="0"/>
                                                          <w:marTop w:val="0"/>
                                                          <w:marBottom w:val="0"/>
                                                          <w:divBdr>
                                                            <w:top w:val="single" w:sz="6" w:space="0" w:color="ABABAB"/>
                                                            <w:left w:val="single" w:sz="6" w:space="0" w:color="ABABAB"/>
                                                            <w:bottom w:val="single" w:sz="6" w:space="0" w:color="ABABAB"/>
                                                            <w:right w:val="single" w:sz="6" w:space="0" w:color="ABABAB"/>
                                                          </w:divBdr>
                                                          <w:divsChild>
                                                            <w:div w:id="1630891072">
                                                              <w:marLeft w:val="0"/>
                                                              <w:marRight w:val="0"/>
                                                              <w:marTop w:val="0"/>
                                                              <w:marBottom w:val="0"/>
                                                              <w:divBdr>
                                                                <w:top w:val="none" w:sz="0" w:space="0" w:color="auto"/>
                                                                <w:left w:val="none" w:sz="0" w:space="0" w:color="auto"/>
                                                                <w:bottom w:val="none" w:sz="0" w:space="0" w:color="auto"/>
                                                                <w:right w:val="none" w:sz="0" w:space="0" w:color="auto"/>
                                                              </w:divBdr>
                                                              <w:divsChild>
                                                                <w:div w:id="276982751">
                                                                  <w:marLeft w:val="0"/>
                                                                  <w:marRight w:val="0"/>
                                                                  <w:marTop w:val="0"/>
                                                                  <w:marBottom w:val="0"/>
                                                                  <w:divBdr>
                                                                    <w:top w:val="none" w:sz="0" w:space="0" w:color="auto"/>
                                                                    <w:left w:val="none" w:sz="0" w:space="0" w:color="auto"/>
                                                                    <w:bottom w:val="none" w:sz="0" w:space="0" w:color="auto"/>
                                                                    <w:right w:val="none" w:sz="0" w:space="0" w:color="auto"/>
                                                                  </w:divBdr>
                                                                  <w:divsChild>
                                                                    <w:div w:id="1642885579">
                                                                      <w:marLeft w:val="0"/>
                                                                      <w:marRight w:val="0"/>
                                                                      <w:marTop w:val="0"/>
                                                                      <w:marBottom w:val="0"/>
                                                                      <w:divBdr>
                                                                        <w:top w:val="none" w:sz="0" w:space="0" w:color="auto"/>
                                                                        <w:left w:val="none" w:sz="0" w:space="0" w:color="auto"/>
                                                                        <w:bottom w:val="none" w:sz="0" w:space="0" w:color="auto"/>
                                                                        <w:right w:val="none" w:sz="0" w:space="0" w:color="auto"/>
                                                                      </w:divBdr>
                                                                      <w:divsChild>
                                                                        <w:div w:id="9525617">
                                                                          <w:marLeft w:val="0"/>
                                                                          <w:marRight w:val="0"/>
                                                                          <w:marTop w:val="0"/>
                                                                          <w:marBottom w:val="0"/>
                                                                          <w:divBdr>
                                                                            <w:top w:val="none" w:sz="0" w:space="0" w:color="auto"/>
                                                                            <w:left w:val="none" w:sz="0" w:space="0" w:color="auto"/>
                                                                            <w:bottom w:val="none" w:sz="0" w:space="0" w:color="auto"/>
                                                                            <w:right w:val="none" w:sz="0" w:space="0" w:color="auto"/>
                                                                          </w:divBdr>
                                                                          <w:divsChild>
                                                                            <w:div w:id="149518187">
                                                                              <w:marLeft w:val="0"/>
                                                                              <w:marRight w:val="0"/>
                                                                              <w:marTop w:val="0"/>
                                                                              <w:marBottom w:val="0"/>
                                                                              <w:divBdr>
                                                                                <w:top w:val="none" w:sz="0" w:space="0" w:color="auto"/>
                                                                                <w:left w:val="none" w:sz="0" w:space="0" w:color="auto"/>
                                                                                <w:bottom w:val="none" w:sz="0" w:space="0" w:color="auto"/>
                                                                                <w:right w:val="none" w:sz="0" w:space="0" w:color="auto"/>
                                                                              </w:divBdr>
                                                                              <w:divsChild>
                                                                                <w:div w:id="206069747">
                                                                                  <w:marLeft w:val="0"/>
                                                                                  <w:marRight w:val="0"/>
                                                                                  <w:marTop w:val="0"/>
                                                                                  <w:marBottom w:val="0"/>
                                                                                  <w:divBdr>
                                                                                    <w:top w:val="none" w:sz="0" w:space="0" w:color="auto"/>
                                                                                    <w:left w:val="none" w:sz="0" w:space="0" w:color="auto"/>
                                                                                    <w:bottom w:val="none" w:sz="0" w:space="0" w:color="auto"/>
                                                                                    <w:right w:val="none" w:sz="0" w:space="0" w:color="auto"/>
                                                                                  </w:divBdr>
                                                                                  <w:divsChild>
                                                                                    <w:div w:id="951133854">
                                                                                      <w:marLeft w:val="0"/>
                                                                                      <w:marRight w:val="0"/>
                                                                                      <w:marTop w:val="0"/>
                                                                                      <w:marBottom w:val="0"/>
                                                                                      <w:divBdr>
                                                                                        <w:top w:val="none" w:sz="0" w:space="0" w:color="auto"/>
                                                                                        <w:left w:val="none" w:sz="0" w:space="0" w:color="auto"/>
                                                                                        <w:bottom w:val="none" w:sz="0" w:space="0" w:color="auto"/>
                                                                                        <w:right w:val="none" w:sz="0" w:space="0" w:color="auto"/>
                                                                                      </w:divBdr>
                                                                                      <w:divsChild>
                                                                                        <w:div w:id="2101876710">
                                                                                          <w:marLeft w:val="0"/>
                                                                                          <w:marRight w:val="0"/>
                                                                                          <w:marTop w:val="0"/>
                                                                                          <w:marBottom w:val="0"/>
                                                                                          <w:divBdr>
                                                                                            <w:top w:val="none" w:sz="0" w:space="0" w:color="auto"/>
                                                                                            <w:left w:val="none" w:sz="0" w:space="0" w:color="auto"/>
                                                                                            <w:bottom w:val="none" w:sz="0" w:space="0" w:color="auto"/>
                                                                                            <w:right w:val="none" w:sz="0" w:space="0" w:color="auto"/>
                                                                                          </w:divBdr>
                                                                                        </w:div>
                                                                                        <w:div w:id="1476407828">
                                                                                          <w:marLeft w:val="0"/>
                                                                                          <w:marRight w:val="0"/>
                                                                                          <w:marTop w:val="0"/>
                                                                                          <w:marBottom w:val="0"/>
                                                                                          <w:divBdr>
                                                                                            <w:top w:val="none" w:sz="0" w:space="0" w:color="auto"/>
                                                                                            <w:left w:val="none" w:sz="0" w:space="0" w:color="auto"/>
                                                                                            <w:bottom w:val="none" w:sz="0" w:space="0" w:color="auto"/>
                                                                                            <w:right w:val="none" w:sz="0" w:space="0" w:color="auto"/>
                                                                                          </w:divBdr>
                                                                                        </w:div>
                                                                                      </w:divsChild>
                                                                                    </w:div>
                                                                                    <w:div w:id="1138960901">
                                                                                      <w:marLeft w:val="0"/>
                                                                                      <w:marRight w:val="0"/>
                                                                                      <w:marTop w:val="0"/>
                                                                                      <w:marBottom w:val="0"/>
                                                                                      <w:divBdr>
                                                                                        <w:top w:val="none" w:sz="0" w:space="0" w:color="auto"/>
                                                                                        <w:left w:val="none" w:sz="0" w:space="0" w:color="auto"/>
                                                                                        <w:bottom w:val="none" w:sz="0" w:space="0" w:color="auto"/>
                                                                                        <w:right w:val="none" w:sz="0" w:space="0" w:color="auto"/>
                                                                                      </w:divBdr>
                                                                                      <w:divsChild>
                                                                                        <w:div w:id="304817145">
                                                                                          <w:marLeft w:val="0"/>
                                                                                          <w:marRight w:val="0"/>
                                                                                          <w:marTop w:val="0"/>
                                                                                          <w:marBottom w:val="0"/>
                                                                                          <w:divBdr>
                                                                                            <w:top w:val="none" w:sz="0" w:space="0" w:color="auto"/>
                                                                                            <w:left w:val="none" w:sz="0" w:space="0" w:color="auto"/>
                                                                                            <w:bottom w:val="none" w:sz="0" w:space="0" w:color="auto"/>
                                                                                            <w:right w:val="none" w:sz="0" w:space="0" w:color="auto"/>
                                                                                          </w:divBdr>
                                                                                        </w:div>
                                                                                        <w:div w:id="711072468">
                                                                                          <w:marLeft w:val="0"/>
                                                                                          <w:marRight w:val="0"/>
                                                                                          <w:marTop w:val="0"/>
                                                                                          <w:marBottom w:val="0"/>
                                                                                          <w:divBdr>
                                                                                            <w:top w:val="none" w:sz="0" w:space="0" w:color="auto"/>
                                                                                            <w:left w:val="none" w:sz="0" w:space="0" w:color="auto"/>
                                                                                            <w:bottom w:val="none" w:sz="0" w:space="0" w:color="auto"/>
                                                                                            <w:right w:val="none" w:sz="0" w:space="0" w:color="auto"/>
                                                                                          </w:divBdr>
                                                                                        </w:div>
                                                                                        <w:div w:id="1131292649">
                                                                                          <w:marLeft w:val="0"/>
                                                                                          <w:marRight w:val="0"/>
                                                                                          <w:marTop w:val="0"/>
                                                                                          <w:marBottom w:val="0"/>
                                                                                          <w:divBdr>
                                                                                            <w:top w:val="none" w:sz="0" w:space="0" w:color="auto"/>
                                                                                            <w:left w:val="none" w:sz="0" w:space="0" w:color="auto"/>
                                                                                            <w:bottom w:val="none" w:sz="0" w:space="0" w:color="auto"/>
                                                                                            <w:right w:val="none" w:sz="0" w:space="0" w:color="auto"/>
                                                                                          </w:divBdr>
                                                                                        </w:div>
                                                                                        <w:div w:id="374505096">
                                                                                          <w:marLeft w:val="0"/>
                                                                                          <w:marRight w:val="0"/>
                                                                                          <w:marTop w:val="0"/>
                                                                                          <w:marBottom w:val="0"/>
                                                                                          <w:divBdr>
                                                                                            <w:top w:val="none" w:sz="0" w:space="0" w:color="auto"/>
                                                                                            <w:left w:val="none" w:sz="0" w:space="0" w:color="auto"/>
                                                                                            <w:bottom w:val="none" w:sz="0" w:space="0" w:color="auto"/>
                                                                                            <w:right w:val="none" w:sz="0" w:space="0" w:color="auto"/>
                                                                                          </w:divBdr>
                                                                                        </w:div>
                                                                                      </w:divsChild>
                                                                                    </w:div>
                                                                                    <w:div w:id="699477522">
                                                                                      <w:marLeft w:val="0"/>
                                                                                      <w:marRight w:val="0"/>
                                                                                      <w:marTop w:val="0"/>
                                                                                      <w:marBottom w:val="0"/>
                                                                                      <w:divBdr>
                                                                                        <w:top w:val="none" w:sz="0" w:space="0" w:color="auto"/>
                                                                                        <w:left w:val="none" w:sz="0" w:space="0" w:color="auto"/>
                                                                                        <w:bottom w:val="none" w:sz="0" w:space="0" w:color="auto"/>
                                                                                        <w:right w:val="none" w:sz="0" w:space="0" w:color="auto"/>
                                                                                      </w:divBdr>
                                                                                      <w:divsChild>
                                                                                        <w:div w:id="53682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089280">
      <w:bodyDiv w:val="1"/>
      <w:marLeft w:val="0"/>
      <w:marRight w:val="0"/>
      <w:marTop w:val="0"/>
      <w:marBottom w:val="0"/>
      <w:divBdr>
        <w:top w:val="none" w:sz="0" w:space="0" w:color="auto"/>
        <w:left w:val="none" w:sz="0" w:space="0" w:color="auto"/>
        <w:bottom w:val="none" w:sz="0" w:space="0" w:color="auto"/>
        <w:right w:val="none" w:sz="0" w:space="0" w:color="auto"/>
      </w:divBdr>
    </w:div>
    <w:div w:id="714700197">
      <w:bodyDiv w:val="1"/>
      <w:marLeft w:val="0"/>
      <w:marRight w:val="0"/>
      <w:marTop w:val="0"/>
      <w:marBottom w:val="0"/>
      <w:divBdr>
        <w:top w:val="none" w:sz="0" w:space="0" w:color="auto"/>
        <w:left w:val="none" w:sz="0" w:space="0" w:color="auto"/>
        <w:bottom w:val="none" w:sz="0" w:space="0" w:color="auto"/>
        <w:right w:val="none" w:sz="0" w:space="0" w:color="auto"/>
      </w:divBdr>
    </w:div>
    <w:div w:id="715785577">
      <w:bodyDiv w:val="1"/>
      <w:marLeft w:val="0"/>
      <w:marRight w:val="0"/>
      <w:marTop w:val="0"/>
      <w:marBottom w:val="0"/>
      <w:divBdr>
        <w:top w:val="none" w:sz="0" w:space="0" w:color="auto"/>
        <w:left w:val="none" w:sz="0" w:space="0" w:color="auto"/>
        <w:bottom w:val="none" w:sz="0" w:space="0" w:color="auto"/>
        <w:right w:val="none" w:sz="0" w:space="0" w:color="auto"/>
      </w:divBdr>
    </w:div>
    <w:div w:id="719017990">
      <w:bodyDiv w:val="1"/>
      <w:marLeft w:val="0"/>
      <w:marRight w:val="0"/>
      <w:marTop w:val="0"/>
      <w:marBottom w:val="0"/>
      <w:divBdr>
        <w:top w:val="none" w:sz="0" w:space="0" w:color="auto"/>
        <w:left w:val="none" w:sz="0" w:space="0" w:color="auto"/>
        <w:bottom w:val="none" w:sz="0" w:space="0" w:color="auto"/>
        <w:right w:val="none" w:sz="0" w:space="0" w:color="auto"/>
      </w:divBdr>
    </w:div>
    <w:div w:id="723061943">
      <w:bodyDiv w:val="1"/>
      <w:marLeft w:val="0"/>
      <w:marRight w:val="0"/>
      <w:marTop w:val="0"/>
      <w:marBottom w:val="0"/>
      <w:divBdr>
        <w:top w:val="none" w:sz="0" w:space="0" w:color="auto"/>
        <w:left w:val="none" w:sz="0" w:space="0" w:color="auto"/>
        <w:bottom w:val="none" w:sz="0" w:space="0" w:color="auto"/>
        <w:right w:val="none" w:sz="0" w:space="0" w:color="auto"/>
      </w:divBdr>
    </w:div>
    <w:div w:id="730202648">
      <w:bodyDiv w:val="1"/>
      <w:marLeft w:val="0"/>
      <w:marRight w:val="0"/>
      <w:marTop w:val="0"/>
      <w:marBottom w:val="0"/>
      <w:divBdr>
        <w:top w:val="none" w:sz="0" w:space="0" w:color="auto"/>
        <w:left w:val="none" w:sz="0" w:space="0" w:color="auto"/>
        <w:bottom w:val="none" w:sz="0" w:space="0" w:color="auto"/>
        <w:right w:val="none" w:sz="0" w:space="0" w:color="auto"/>
      </w:divBdr>
    </w:div>
    <w:div w:id="733898014">
      <w:bodyDiv w:val="1"/>
      <w:marLeft w:val="0"/>
      <w:marRight w:val="0"/>
      <w:marTop w:val="0"/>
      <w:marBottom w:val="0"/>
      <w:divBdr>
        <w:top w:val="none" w:sz="0" w:space="0" w:color="auto"/>
        <w:left w:val="none" w:sz="0" w:space="0" w:color="auto"/>
        <w:bottom w:val="none" w:sz="0" w:space="0" w:color="auto"/>
        <w:right w:val="none" w:sz="0" w:space="0" w:color="auto"/>
      </w:divBdr>
    </w:div>
    <w:div w:id="734935610">
      <w:bodyDiv w:val="1"/>
      <w:marLeft w:val="0"/>
      <w:marRight w:val="0"/>
      <w:marTop w:val="0"/>
      <w:marBottom w:val="0"/>
      <w:divBdr>
        <w:top w:val="none" w:sz="0" w:space="0" w:color="auto"/>
        <w:left w:val="none" w:sz="0" w:space="0" w:color="auto"/>
        <w:bottom w:val="none" w:sz="0" w:space="0" w:color="auto"/>
        <w:right w:val="none" w:sz="0" w:space="0" w:color="auto"/>
      </w:divBdr>
    </w:div>
    <w:div w:id="743995492">
      <w:bodyDiv w:val="1"/>
      <w:marLeft w:val="0"/>
      <w:marRight w:val="0"/>
      <w:marTop w:val="0"/>
      <w:marBottom w:val="0"/>
      <w:divBdr>
        <w:top w:val="none" w:sz="0" w:space="0" w:color="auto"/>
        <w:left w:val="none" w:sz="0" w:space="0" w:color="auto"/>
        <w:bottom w:val="none" w:sz="0" w:space="0" w:color="auto"/>
        <w:right w:val="none" w:sz="0" w:space="0" w:color="auto"/>
      </w:divBdr>
    </w:div>
    <w:div w:id="751586180">
      <w:bodyDiv w:val="1"/>
      <w:marLeft w:val="0"/>
      <w:marRight w:val="0"/>
      <w:marTop w:val="0"/>
      <w:marBottom w:val="0"/>
      <w:divBdr>
        <w:top w:val="none" w:sz="0" w:space="0" w:color="auto"/>
        <w:left w:val="none" w:sz="0" w:space="0" w:color="auto"/>
        <w:bottom w:val="none" w:sz="0" w:space="0" w:color="auto"/>
        <w:right w:val="none" w:sz="0" w:space="0" w:color="auto"/>
      </w:divBdr>
    </w:div>
    <w:div w:id="752241430">
      <w:bodyDiv w:val="1"/>
      <w:marLeft w:val="0"/>
      <w:marRight w:val="0"/>
      <w:marTop w:val="0"/>
      <w:marBottom w:val="0"/>
      <w:divBdr>
        <w:top w:val="none" w:sz="0" w:space="0" w:color="auto"/>
        <w:left w:val="none" w:sz="0" w:space="0" w:color="auto"/>
        <w:bottom w:val="none" w:sz="0" w:space="0" w:color="auto"/>
        <w:right w:val="none" w:sz="0" w:space="0" w:color="auto"/>
      </w:divBdr>
    </w:div>
    <w:div w:id="753475648">
      <w:bodyDiv w:val="1"/>
      <w:marLeft w:val="0"/>
      <w:marRight w:val="0"/>
      <w:marTop w:val="0"/>
      <w:marBottom w:val="0"/>
      <w:divBdr>
        <w:top w:val="none" w:sz="0" w:space="0" w:color="auto"/>
        <w:left w:val="none" w:sz="0" w:space="0" w:color="auto"/>
        <w:bottom w:val="none" w:sz="0" w:space="0" w:color="auto"/>
        <w:right w:val="none" w:sz="0" w:space="0" w:color="auto"/>
      </w:divBdr>
    </w:div>
    <w:div w:id="761099584">
      <w:bodyDiv w:val="1"/>
      <w:marLeft w:val="0"/>
      <w:marRight w:val="0"/>
      <w:marTop w:val="0"/>
      <w:marBottom w:val="0"/>
      <w:divBdr>
        <w:top w:val="none" w:sz="0" w:space="0" w:color="auto"/>
        <w:left w:val="none" w:sz="0" w:space="0" w:color="auto"/>
        <w:bottom w:val="none" w:sz="0" w:space="0" w:color="auto"/>
        <w:right w:val="none" w:sz="0" w:space="0" w:color="auto"/>
      </w:divBdr>
    </w:div>
    <w:div w:id="764761773">
      <w:bodyDiv w:val="1"/>
      <w:marLeft w:val="0"/>
      <w:marRight w:val="0"/>
      <w:marTop w:val="0"/>
      <w:marBottom w:val="0"/>
      <w:divBdr>
        <w:top w:val="none" w:sz="0" w:space="0" w:color="auto"/>
        <w:left w:val="none" w:sz="0" w:space="0" w:color="auto"/>
        <w:bottom w:val="none" w:sz="0" w:space="0" w:color="auto"/>
        <w:right w:val="none" w:sz="0" w:space="0" w:color="auto"/>
      </w:divBdr>
    </w:div>
    <w:div w:id="772433030">
      <w:bodyDiv w:val="1"/>
      <w:marLeft w:val="0"/>
      <w:marRight w:val="0"/>
      <w:marTop w:val="0"/>
      <w:marBottom w:val="0"/>
      <w:divBdr>
        <w:top w:val="none" w:sz="0" w:space="0" w:color="auto"/>
        <w:left w:val="none" w:sz="0" w:space="0" w:color="auto"/>
        <w:bottom w:val="none" w:sz="0" w:space="0" w:color="auto"/>
        <w:right w:val="none" w:sz="0" w:space="0" w:color="auto"/>
      </w:divBdr>
    </w:div>
    <w:div w:id="776415220">
      <w:bodyDiv w:val="1"/>
      <w:marLeft w:val="0"/>
      <w:marRight w:val="0"/>
      <w:marTop w:val="0"/>
      <w:marBottom w:val="0"/>
      <w:divBdr>
        <w:top w:val="none" w:sz="0" w:space="0" w:color="auto"/>
        <w:left w:val="none" w:sz="0" w:space="0" w:color="auto"/>
        <w:bottom w:val="none" w:sz="0" w:space="0" w:color="auto"/>
        <w:right w:val="none" w:sz="0" w:space="0" w:color="auto"/>
      </w:divBdr>
    </w:div>
    <w:div w:id="785124820">
      <w:bodyDiv w:val="1"/>
      <w:marLeft w:val="0"/>
      <w:marRight w:val="0"/>
      <w:marTop w:val="0"/>
      <w:marBottom w:val="0"/>
      <w:divBdr>
        <w:top w:val="none" w:sz="0" w:space="0" w:color="auto"/>
        <w:left w:val="none" w:sz="0" w:space="0" w:color="auto"/>
        <w:bottom w:val="none" w:sz="0" w:space="0" w:color="auto"/>
        <w:right w:val="none" w:sz="0" w:space="0" w:color="auto"/>
      </w:divBdr>
    </w:div>
    <w:div w:id="788821092">
      <w:bodyDiv w:val="1"/>
      <w:marLeft w:val="0"/>
      <w:marRight w:val="0"/>
      <w:marTop w:val="0"/>
      <w:marBottom w:val="0"/>
      <w:divBdr>
        <w:top w:val="none" w:sz="0" w:space="0" w:color="auto"/>
        <w:left w:val="none" w:sz="0" w:space="0" w:color="auto"/>
        <w:bottom w:val="none" w:sz="0" w:space="0" w:color="auto"/>
        <w:right w:val="none" w:sz="0" w:space="0" w:color="auto"/>
      </w:divBdr>
    </w:div>
    <w:div w:id="795148725">
      <w:bodyDiv w:val="1"/>
      <w:marLeft w:val="0"/>
      <w:marRight w:val="0"/>
      <w:marTop w:val="0"/>
      <w:marBottom w:val="0"/>
      <w:divBdr>
        <w:top w:val="none" w:sz="0" w:space="0" w:color="auto"/>
        <w:left w:val="none" w:sz="0" w:space="0" w:color="auto"/>
        <w:bottom w:val="none" w:sz="0" w:space="0" w:color="auto"/>
        <w:right w:val="none" w:sz="0" w:space="0" w:color="auto"/>
      </w:divBdr>
    </w:div>
    <w:div w:id="796265640">
      <w:bodyDiv w:val="1"/>
      <w:marLeft w:val="0"/>
      <w:marRight w:val="0"/>
      <w:marTop w:val="0"/>
      <w:marBottom w:val="0"/>
      <w:divBdr>
        <w:top w:val="none" w:sz="0" w:space="0" w:color="auto"/>
        <w:left w:val="none" w:sz="0" w:space="0" w:color="auto"/>
        <w:bottom w:val="none" w:sz="0" w:space="0" w:color="auto"/>
        <w:right w:val="none" w:sz="0" w:space="0" w:color="auto"/>
      </w:divBdr>
    </w:div>
    <w:div w:id="811753549">
      <w:bodyDiv w:val="1"/>
      <w:marLeft w:val="0"/>
      <w:marRight w:val="0"/>
      <w:marTop w:val="0"/>
      <w:marBottom w:val="0"/>
      <w:divBdr>
        <w:top w:val="none" w:sz="0" w:space="0" w:color="auto"/>
        <w:left w:val="none" w:sz="0" w:space="0" w:color="auto"/>
        <w:bottom w:val="none" w:sz="0" w:space="0" w:color="auto"/>
        <w:right w:val="none" w:sz="0" w:space="0" w:color="auto"/>
      </w:divBdr>
      <w:divsChild>
        <w:div w:id="1105154442">
          <w:marLeft w:val="0"/>
          <w:marRight w:val="0"/>
          <w:marTop w:val="0"/>
          <w:marBottom w:val="0"/>
          <w:divBdr>
            <w:top w:val="none" w:sz="0" w:space="0" w:color="auto"/>
            <w:left w:val="none" w:sz="0" w:space="0" w:color="auto"/>
            <w:bottom w:val="none" w:sz="0" w:space="0" w:color="auto"/>
            <w:right w:val="none" w:sz="0" w:space="0" w:color="auto"/>
          </w:divBdr>
          <w:divsChild>
            <w:div w:id="269555362">
              <w:marLeft w:val="0"/>
              <w:marRight w:val="0"/>
              <w:marTop w:val="0"/>
              <w:marBottom w:val="0"/>
              <w:divBdr>
                <w:top w:val="none" w:sz="0" w:space="0" w:color="auto"/>
                <w:left w:val="none" w:sz="0" w:space="0" w:color="auto"/>
                <w:bottom w:val="none" w:sz="0" w:space="0" w:color="auto"/>
                <w:right w:val="none" w:sz="0" w:space="0" w:color="auto"/>
              </w:divBdr>
            </w:div>
            <w:div w:id="174649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3831">
      <w:bodyDiv w:val="1"/>
      <w:marLeft w:val="0"/>
      <w:marRight w:val="0"/>
      <w:marTop w:val="0"/>
      <w:marBottom w:val="0"/>
      <w:divBdr>
        <w:top w:val="none" w:sz="0" w:space="0" w:color="auto"/>
        <w:left w:val="none" w:sz="0" w:space="0" w:color="auto"/>
        <w:bottom w:val="none" w:sz="0" w:space="0" w:color="auto"/>
        <w:right w:val="none" w:sz="0" w:space="0" w:color="auto"/>
      </w:divBdr>
    </w:div>
    <w:div w:id="814571170">
      <w:bodyDiv w:val="1"/>
      <w:marLeft w:val="0"/>
      <w:marRight w:val="0"/>
      <w:marTop w:val="0"/>
      <w:marBottom w:val="0"/>
      <w:divBdr>
        <w:top w:val="none" w:sz="0" w:space="0" w:color="auto"/>
        <w:left w:val="none" w:sz="0" w:space="0" w:color="auto"/>
        <w:bottom w:val="none" w:sz="0" w:space="0" w:color="auto"/>
        <w:right w:val="none" w:sz="0" w:space="0" w:color="auto"/>
      </w:divBdr>
    </w:div>
    <w:div w:id="816459130">
      <w:bodyDiv w:val="1"/>
      <w:marLeft w:val="0"/>
      <w:marRight w:val="0"/>
      <w:marTop w:val="0"/>
      <w:marBottom w:val="0"/>
      <w:divBdr>
        <w:top w:val="none" w:sz="0" w:space="0" w:color="auto"/>
        <w:left w:val="none" w:sz="0" w:space="0" w:color="auto"/>
        <w:bottom w:val="none" w:sz="0" w:space="0" w:color="auto"/>
        <w:right w:val="none" w:sz="0" w:space="0" w:color="auto"/>
      </w:divBdr>
    </w:div>
    <w:div w:id="820970579">
      <w:bodyDiv w:val="1"/>
      <w:marLeft w:val="0"/>
      <w:marRight w:val="0"/>
      <w:marTop w:val="0"/>
      <w:marBottom w:val="0"/>
      <w:divBdr>
        <w:top w:val="none" w:sz="0" w:space="0" w:color="auto"/>
        <w:left w:val="none" w:sz="0" w:space="0" w:color="auto"/>
        <w:bottom w:val="none" w:sz="0" w:space="0" w:color="auto"/>
        <w:right w:val="none" w:sz="0" w:space="0" w:color="auto"/>
      </w:divBdr>
    </w:div>
    <w:div w:id="821695466">
      <w:bodyDiv w:val="1"/>
      <w:marLeft w:val="0"/>
      <w:marRight w:val="0"/>
      <w:marTop w:val="0"/>
      <w:marBottom w:val="0"/>
      <w:divBdr>
        <w:top w:val="none" w:sz="0" w:space="0" w:color="auto"/>
        <w:left w:val="none" w:sz="0" w:space="0" w:color="auto"/>
        <w:bottom w:val="none" w:sz="0" w:space="0" w:color="auto"/>
        <w:right w:val="none" w:sz="0" w:space="0" w:color="auto"/>
      </w:divBdr>
    </w:div>
    <w:div w:id="822158027">
      <w:bodyDiv w:val="1"/>
      <w:marLeft w:val="0"/>
      <w:marRight w:val="0"/>
      <w:marTop w:val="0"/>
      <w:marBottom w:val="0"/>
      <w:divBdr>
        <w:top w:val="none" w:sz="0" w:space="0" w:color="auto"/>
        <w:left w:val="none" w:sz="0" w:space="0" w:color="auto"/>
        <w:bottom w:val="none" w:sz="0" w:space="0" w:color="auto"/>
        <w:right w:val="none" w:sz="0" w:space="0" w:color="auto"/>
      </w:divBdr>
    </w:div>
    <w:div w:id="823200948">
      <w:bodyDiv w:val="1"/>
      <w:marLeft w:val="0"/>
      <w:marRight w:val="0"/>
      <w:marTop w:val="0"/>
      <w:marBottom w:val="0"/>
      <w:divBdr>
        <w:top w:val="none" w:sz="0" w:space="0" w:color="auto"/>
        <w:left w:val="none" w:sz="0" w:space="0" w:color="auto"/>
        <w:bottom w:val="none" w:sz="0" w:space="0" w:color="auto"/>
        <w:right w:val="none" w:sz="0" w:space="0" w:color="auto"/>
      </w:divBdr>
    </w:div>
    <w:div w:id="830365722">
      <w:bodyDiv w:val="1"/>
      <w:marLeft w:val="0"/>
      <w:marRight w:val="0"/>
      <w:marTop w:val="0"/>
      <w:marBottom w:val="0"/>
      <w:divBdr>
        <w:top w:val="none" w:sz="0" w:space="0" w:color="auto"/>
        <w:left w:val="none" w:sz="0" w:space="0" w:color="auto"/>
        <w:bottom w:val="none" w:sz="0" w:space="0" w:color="auto"/>
        <w:right w:val="none" w:sz="0" w:space="0" w:color="auto"/>
      </w:divBdr>
    </w:div>
    <w:div w:id="836263279">
      <w:bodyDiv w:val="1"/>
      <w:marLeft w:val="0"/>
      <w:marRight w:val="0"/>
      <w:marTop w:val="0"/>
      <w:marBottom w:val="0"/>
      <w:divBdr>
        <w:top w:val="none" w:sz="0" w:space="0" w:color="auto"/>
        <w:left w:val="none" w:sz="0" w:space="0" w:color="auto"/>
        <w:bottom w:val="none" w:sz="0" w:space="0" w:color="auto"/>
        <w:right w:val="none" w:sz="0" w:space="0" w:color="auto"/>
      </w:divBdr>
    </w:div>
    <w:div w:id="847255976">
      <w:bodyDiv w:val="1"/>
      <w:marLeft w:val="0"/>
      <w:marRight w:val="0"/>
      <w:marTop w:val="0"/>
      <w:marBottom w:val="0"/>
      <w:divBdr>
        <w:top w:val="none" w:sz="0" w:space="0" w:color="auto"/>
        <w:left w:val="none" w:sz="0" w:space="0" w:color="auto"/>
        <w:bottom w:val="none" w:sz="0" w:space="0" w:color="auto"/>
        <w:right w:val="none" w:sz="0" w:space="0" w:color="auto"/>
      </w:divBdr>
    </w:div>
    <w:div w:id="850144555">
      <w:bodyDiv w:val="1"/>
      <w:marLeft w:val="0"/>
      <w:marRight w:val="0"/>
      <w:marTop w:val="0"/>
      <w:marBottom w:val="0"/>
      <w:divBdr>
        <w:top w:val="none" w:sz="0" w:space="0" w:color="auto"/>
        <w:left w:val="none" w:sz="0" w:space="0" w:color="auto"/>
        <w:bottom w:val="none" w:sz="0" w:space="0" w:color="auto"/>
        <w:right w:val="none" w:sz="0" w:space="0" w:color="auto"/>
      </w:divBdr>
    </w:div>
    <w:div w:id="863832304">
      <w:bodyDiv w:val="1"/>
      <w:marLeft w:val="0"/>
      <w:marRight w:val="0"/>
      <w:marTop w:val="0"/>
      <w:marBottom w:val="0"/>
      <w:divBdr>
        <w:top w:val="none" w:sz="0" w:space="0" w:color="auto"/>
        <w:left w:val="none" w:sz="0" w:space="0" w:color="auto"/>
        <w:bottom w:val="none" w:sz="0" w:space="0" w:color="auto"/>
        <w:right w:val="none" w:sz="0" w:space="0" w:color="auto"/>
      </w:divBdr>
    </w:div>
    <w:div w:id="864900981">
      <w:bodyDiv w:val="1"/>
      <w:marLeft w:val="0"/>
      <w:marRight w:val="0"/>
      <w:marTop w:val="0"/>
      <w:marBottom w:val="0"/>
      <w:divBdr>
        <w:top w:val="none" w:sz="0" w:space="0" w:color="auto"/>
        <w:left w:val="none" w:sz="0" w:space="0" w:color="auto"/>
        <w:bottom w:val="none" w:sz="0" w:space="0" w:color="auto"/>
        <w:right w:val="none" w:sz="0" w:space="0" w:color="auto"/>
      </w:divBdr>
    </w:div>
    <w:div w:id="865024530">
      <w:bodyDiv w:val="1"/>
      <w:marLeft w:val="0"/>
      <w:marRight w:val="0"/>
      <w:marTop w:val="0"/>
      <w:marBottom w:val="0"/>
      <w:divBdr>
        <w:top w:val="none" w:sz="0" w:space="0" w:color="auto"/>
        <w:left w:val="none" w:sz="0" w:space="0" w:color="auto"/>
        <w:bottom w:val="none" w:sz="0" w:space="0" w:color="auto"/>
        <w:right w:val="none" w:sz="0" w:space="0" w:color="auto"/>
      </w:divBdr>
    </w:div>
    <w:div w:id="872887216">
      <w:bodyDiv w:val="1"/>
      <w:marLeft w:val="0"/>
      <w:marRight w:val="0"/>
      <w:marTop w:val="0"/>
      <w:marBottom w:val="0"/>
      <w:divBdr>
        <w:top w:val="none" w:sz="0" w:space="0" w:color="auto"/>
        <w:left w:val="none" w:sz="0" w:space="0" w:color="auto"/>
        <w:bottom w:val="none" w:sz="0" w:space="0" w:color="auto"/>
        <w:right w:val="none" w:sz="0" w:space="0" w:color="auto"/>
      </w:divBdr>
    </w:div>
    <w:div w:id="880284290">
      <w:bodyDiv w:val="1"/>
      <w:marLeft w:val="0"/>
      <w:marRight w:val="0"/>
      <w:marTop w:val="0"/>
      <w:marBottom w:val="0"/>
      <w:divBdr>
        <w:top w:val="none" w:sz="0" w:space="0" w:color="auto"/>
        <w:left w:val="none" w:sz="0" w:space="0" w:color="auto"/>
        <w:bottom w:val="none" w:sz="0" w:space="0" w:color="auto"/>
        <w:right w:val="none" w:sz="0" w:space="0" w:color="auto"/>
      </w:divBdr>
    </w:div>
    <w:div w:id="884216179">
      <w:bodyDiv w:val="1"/>
      <w:marLeft w:val="0"/>
      <w:marRight w:val="0"/>
      <w:marTop w:val="0"/>
      <w:marBottom w:val="0"/>
      <w:divBdr>
        <w:top w:val="none" w:sz="0" w:space="0" w:color="auto"/>
        <w:left w:val="none" w:sz="0" w:space="0" w:color="auto"/>
        <w:bottom w:val="none" w:sz="0" w:space="0" w:color="auto"/>
        <w:right w:val="none" w:sz="0" w:space="0" w:color="auto"/>
      </w:divBdr>
    </w:div>
    <w:div w:id="889342853">
      <w:bodyDiv w:val="1"/>
      <w:marLeft w:val="0"/>
      <w:marRight w:val="0"/>
      <w:marTop w:val="0"/>
      <w:marBottom w:val="0"/>
      <w:divBdr>
        <w:top w:val="none" w:sz="0" w:space="0" w:color="auto"/>
        <w:left w:val="none" w:sz="0" w:space="0" w:color="auto"/>
        <w:bottom w:val="none" w:sz="0" w:space="0" w:color="auto"/>
        <w:right w:val="none" w:sz="0" w:space="0" w:color="auto"/>
      </w:divBdr>
    </w:div>
    <w:div w:id="903637526">
      <w:bodyDiv w:val="1"/>
      <w:marLeft w:val="0"/>
      <w:marRight w:val="0"/>
      <w:marTop w:val="0"/>
      <w:marBottom w:val="0"/>
      <w:divBdr>
        <w:top w:val="none" w:sz="0" w:space="0" w:color="auto"/>
        <w:left w:val="none" w:sz="0" w:space="0" w:color="auto"/>
        <w:bottom w:val="none" w:sz="0" w:space="0" w:color="auto"/>
        <w:right w:val="none" w:sz="0" w:space="0" w:color="auto"/>
      </w:divBdr>
    </w:div>
    <w:div w:id="904528865">
      <w:bodyDiv w:val="1"/>
      <w:marLeft w:val="0"/>
      <w:marRight w:val="0"/>
      <w:marTop w:val="0"/>
      <w:marBottom w:val="0"/>
      <w:divBdr>
        <w:top w:val="none" w:sz="0" w:space="0" w:color="auto"/>
        <w:left w:val="none" w:sz="0" w:space="0" w:color="auto"/>
        <w:bottom w:val="none" w:sz="0" w:space="0" w:color="auto"/>
        <w:right w:val="none" w:sz="0" w:space="0" w:color="auto"/>
      </w:divBdr>
    </w:div>
    <w:div w:id="907572786">
      <w:bodyDiv w:val="1"/>
      <w:marLeft w:val="0"/>
      <w:marRight w:val="0"/>
      <w:marTop w:val="0"/>
      <w:marBottom w:val="0"/>
      <w:divBdr>
        <w:top w:val="none" w:sz="0" w:space="0" w:color="auto"/>
        <w:left w:val="none" w:sz="0" w:space="0" w:color="auto"/>
        <w:bottom w:val="none" w:sz="0" w:space="0" w:color="auto"/>
        <w:right w:val="none" w:sz="0" w:space="0" w:color="auto"/>
      </w:divBdr>
    </w:div>
    <w:div w:id="907885705">
      <w:bodyDiv w:val="1"/>
      <w:marLeft w:val="0"/>
      <w:marRight w:val="0"/>
      <w:marTop w:val="0"/>
      <w:marBottom w:val="0"/>
      <w:divBdr>
        <w:top w:val="none" w:sz="0" w:space="0" w:color="auto"/>
        <w:left w:val="none" w:sz="0" w:space="0" w:color="auto"/>
        <w:bottom w:val="none" w:sz="0" w:space="0" w:color="auto"/>
        <w:right w:val="none" w:sz="0" w:space="0" w:color="auto"/>
      </w:divBdr>
    </w:div>
    <w:div w:id="910851772">
      <w:bodyDiv w:val="1"/>
      <w:marLeft w:val="0"/>
      <w:marRight w:val="0"/>
      <w:marTop w:val="0"/>
      <w:marBottom w:val="0"/>
      <w:divBdr>
        <w:top w:val="none" w:sz="0" w:space="0" w:color="auto"/>
        <w:left w:val="none" w:sz="0" w:space="0" w:color="auto"/>
        <w:bottom w:val="none" w:sz="0" w:space="0" w:color="auto"/>
        <w:right w:val="none" w:sz="0" w:space="0" w:color="auto"/>
      </w:divBdr>
    </w:div>
    <w:div w:id="918641433">
      <w:bodyDiv w:val="1"/>
      <w:marLeft w:val="0"/>
      <w:marRight w:val="0"/>
      <w:marTop w:val="0"/>
      <w:marBottom w:val="0"/>
      <w:divBdr>
        <w:top w:val="none" w:sz="0" w:space="0" w:color="auto"/>
        <w:left w:val="none" w:sz="0" w:space="0" w:color="auto"/>
        <w:bottom w:val="none" w:sz="0" w:space="0" w:color="auto"/>
        <w:right w:val="none" w:sz="0" w:space="0" w:color="auto"/>
      </w:divBdr>
    </w:div>
    <w:div w:id="919365108">
      <w:bodyDiv w:val="1"/>
      <w:marLeft w:val="0"/>
      <w:marRight w:val="0"/>
      <w:marTop w:val="0"/>
      <w:marBottom w:val="0"/>
      <w:divBdr>
        <w:top w:val="none" w:sz="0" w:space="0" w:color="auto"/>
        <w:left w:val="none" w:sz="0" w:space="0" w:color="auto"/>
        <w:bottom w:val="none" w:sz="0" w:space="0" w:color="auto"/>
        <w:right w:val="none" w:sz="0" w:space="0" w:color="auto"/>
      </w:divBdr>
    </w:div>
    <w:div w:id="929697413">
      <w:bodyDiv w:val="1"/>
      <w:marLeft w:val="0"/>
      <w:marRight w:val="0"/>
      <w:marTop w:val="0"/>
      <w:marBottom w:val="0"/>
      <w:divBdr>
        <w:top w:val="none" w:sz="0" w:space="0" w:color="auto"/>
        <w:left w:val="none" w:sz="0" w:space="0" w:color="auto"/>
        <w:bottom w:val="none" w:sz="0" w:space="0" w:color="auto"/>
        <w:right w:val="none" w:sz="0" w:space="0" w:color="auto"/>
      </w:divBdr>
    </w:div>
    <w:div w:id="936790782">
      <w:bodyDiv w:val="1"/>
      <w:marLeft w:val="0"/>
      <w:marRight w:val="0"/>
      <w:marTop w:val="0"/>
      <w:marBottom w:val="0"/>
      <w:divBdr>
        <w:top w:val="none" w:sz="0" w:space="0" w:color="auto"/>
        <w:left w:val="none" w:sz="0" w:space="0" w:color="auto"/>
        <w:bottom w:val="none" w:sz="0" w:space="0" w:color="auto"/>
        <w:right w:val="none" w:sz="0" w:space="0" w:color="auto"/>
      </w:divBdr>
    </w:div>
    <w:div w:id="938410246">
      <w:bodyDiv w:val="1"/>
      <w:marLeft w:val="0"/>
      <w:marRight w:val="0"/>
      <w:marTop w:val="0"/>
      <w:marBottom w:val="0"/>
      <w:divBdr>
        <w:top w:val="none" w:sz="0" w:space="0" w:color="auto"/>
        <w:left w:val="none" w:sz="0" w:space="0" w:color="auto"/>
        <w:bottom w:val="none" w:sz="0" w:space="0" w:color="auto"/>
        <w:right w:val="none" w:sz="0" w:space="0" w:color="auto"/>
      </w:divBdr>
    </w:div>
    <w:div w:id="942685789">
      <w:bodyDiv w:val="1"/>
      <w:marLeft w:val="0"/>
      <w:marRight w:val="0"/>
      <w:marTop w:val="0"/>
      <w:marBottom w:val="0"/>
      <w:divBdr>
        <w:top w:val="none" w:sz="0" w:space="0" w:color="auto"/>
        <w:left w:val="none" w:sz="0" w:space="0" w:color="auto"/>
        <w:bottom w:val="none" w:sz="0" w:space="0" w:color="auto"/>
        <w:right w:val="none" w:sz="0" w:space="0" w:color="auto"/>
      </w:divBdr>
    </w:div>
    <w:div w:id="952595434">
      <w:bodyDiv w:val="1"/>
      <w:marLeft w:val="0"/>
      <w:marRight w:val="0"/>
      <w:marTop w:val="0"/>
      <w:marBottom w:val="0"/>
      <w:divBdr>
        <w:top w:val="none" w:sz="0" w:space="0" w:color="auto"/>
        <w:left w:val="none" w:sz="0" w:space="0" w:color="auto"/>
        <w:bottom w:val="none" w:sz="0" w:space="0" w:color="auto"/>
        <w:right w:val="none" w:sz="0" w:space="0" w:color="auto"/>
      </w:divBdr>
    </w:div>
    <w:div w:id="953361867">
      <w:bodyDiv w:val="1"/>
      <w:marLeft w:val="0"/>
      <w:marRight w:val="0"/>
      <w:marTop w:val="0"/>
      <w:marBottom w:val="0"/>
      <w:divBdr>
        <w:top w:val="none" w:sz="0" w:space="0" w:color="auto"/>
        <w:left w:val="none" w:sz="0" w:space="0" w:color="auto"/>
        <w:bottom w:val="none" w:sz="0" w:space="0" w:color="auto"/>
        <w:right w:val="none" w:sz="0" w:space="0" w:color="auto"/>
      </w:divBdr>
    </w:div>
    <w:div w:id="956183874">
      <w:bodyDiv w:val="1"/>
      <w:marLeft w:val="0"/>
      <w:marRight w:val="0"/>
      <w:marTop w:val="0"/>
      <w:marBottom w:val="0"/>
      <w:divBdr>
        <w:top w:val="none" w:sz="0" w:space="0" w:color="auto"/>
        <w:left w:val="none" w:sz="0" w:space="0" w:color="auto"/>
        <w:bottom w:val="none" w:sz="0" w:space="0" w:color="auto"/>
        <w:right w:val="none" w:sz="0" w:space="0" w:color="auto"/>
      </w:divBdr>
    </w:div>
    <w:div w:id="962079418">
      <w:bodyDiv w:val="1"/>
      <w:marLeft w:val="0"/>
      <w:marRight w:val="0"/>
      <w:marTop w:val="0"/>
      <w:marBottom w:val="0"/>
      <w:divBdr>
        <w:top w:val="none" w:sz="0" w:space="0" w:color="auto"/>
        <w:left w:val="none" w:sz="0" w:space="0" w:color="auto"/>
        <w:bottom w:val="none" w:sz="0" w:space="0" w:color="auto"/>
        <w:right w:val="none" w:sz="0" w:space="0" w:color="auto"/>
      </w:divBdr>
    </w:div>
    <w:div w:id="966470667">
      <w:bodyDiv w:val="1"/>
      <w:marLeft w:val="0"/>
      <w:marRight w:val="0"/>
      <w:marTop w:val="0"/>
      <w:marBottom w:val="0"/>
      <w:divBdr>
        <w:top w:val="none" w:sz="0" w:space="0" w:color="auto"/>
        <w:left w:val="none" w:sz="0" w:space="0" w:color="auto"/>
        <w:bottom w:val="none" w:sz="0" w:space="0" w:color="auto"/>
        <w:right w:val="none" w:sz="0" w:space="0" w:color="auto"/>
      </w:divBdr>
    </w:div>
    <w:div w:id="971447803">
      <w:bodyDiv w:val="1"/>
      <w:marLeft w:val="0"/>
      <w:marRight w:val="0"/>
      <w:marTop w:val="0"/>
      <w:marBottom w:val="0"/>
      <w:divBdr>
        <w:top w:val="none" w:sz="0" w:space="0" w:color="auto"/>
        <w:left w:val="none" w:sz="0" w:space="0" w:color="auto"/>
        <w:bottom w:val="none" w:sz="0" w:space="0" w:color="auto"/>
        <w:right w:val="none" w:sz="0" w:space="0" w:color="auto"/>
      </w:divBdr>
    </w:div>
    <w:div w:id="974063244">
      <w:bodyDiv w:val="1"/>
      <w:marLeft w:val="0"/>
      <w:marRight w:val="0"/>
      <w:marTop w:val="0"/>
      <w:marBottom w:val="0"/>
      <w:divBdr>
        <w:top w:val="none" w:sz="0" w:space="0" w:color="auto"/>
        <w:left w:val="none" w:sz="0" w:space="0" w:color="auto"/>
        <w:bottom w:val="none" w:sz="0" w:space="0" w:color="auto"/>
        <w:right w:val="none" w:sz="0" w:space="0" w:color="auto"/>
      </w:divBdr>
    </w:div>
    <w:div w:id="980378940">
      <w:bodyDiv w:val="1"/>
      <w:marLeft w:val="0"/>
      <w:marRight w:val="0"/>
      <w:marTop w:val="0"/>
      <w:marBottom w:val="0"/>
      <w:divBdr>
        <w:top w:val="none" w:sz="0" w:space="0" w:color="auto"/>
        <w:left w:val="none" w:sz="0" w:space="0" w:color="auto"/>
        <w:bottom w:val="none" w:sz="0" w:space="0" w:color="auto"/>
        <w:right w:val="none" w:sz="0" w:space="0" w:color="auto"/>
      </w:divBdr>
    </w:div>
    <w:div w:id="991061695">
      <w:bodyDiv w:val="1"/>
      <w:marLeft w:val="0"/>
      <w:marRight w:val="0"/>
      <w:marTop w:val="0"/>
      <w:marBottom w:val="0"/>
      <w:divBdr>
        <w:top w:val="none" w:sz="0" w:space="0" w:color="auto"/>
        <w:left w:val="none" w:sz="0" w:space="0" w:color="auto"/>
        <w:bottom w:val="none" w:sz="0" w:space="0" w:color="auto"/>
        <w:right w:val="none" w:sz="0" w:space="0" w:color="auto"/>
      </w:divBdr>
    </w:div>
    <w:div w:id="992637812">
      <w:bodyDiv w:val="1"/>
      <w:marLeft w:val="0"/>
      <w:marRight w:val="0"/>
      <w:marTop w:val="0"/>
      <w:marBottom w:val="0"/>
      <w:divBdr>
        <w:top w:val="none" w:sz="0" w:space="0" w:color="auto"/>
        <w:left w:val="none" w:sz="0" w:space="0" w:color="auto"/>
        <w:bottom w:val="none" w:sz="0" w:space="0" w:color="auto"/>
        <w:right w:val="none" w:sz="0" w:space="0" w:color="auto"/>
      </w:divBdr>
    </w:div>
    <w:div w:id="994379708">
      <w:bodyDiv w:val="1"/>
      <w:marLeft w:val="0"/>
      <w:marRight w:val="0"/>
      <w:marTop w:val="0"/>
      <w:marBottom w:val="0"/>
      <w:divBdr>
        <w:top w:val="none" w:sz="0" w:space="0" w:color="auto"/>
        <w:left w:val="none" w:sz="0" w:space="0" w:color="auto"/>
        <w:bottom w:val="none" w:sz="0" w:space="0" w:color="auto"/>
        <w:right w:val="none" w:sz="0" w:space="0" w:color="auto"/>
      </w:divBdr>
    </w:div>
    <w:div w:id="1006640784">
      <w:bodyDiv w:val="1"/>
      <w:marLeft w:val="0"/>
      <w:marRight w:val="0"/>
      <w:marTop w:val="0"/>
      <w:marBottom w:val="0"/>
      <w:divBdr>
        <w:top w:val="none" w:sz="0" w:space="0" w:color="auto"/>
        <w:left w:val="none" w:sz="0" w:space="0" w:color="auto"/>
        <w:bottom w:val="none" w:sz="0" w:space="0" w:color="auto"/>
        <w:right w:val="none" w:sz="0" w:space="0" w:color="auto"/>
      </w:divBdr>
    </w:div>
    <w:div w:id="1009524419">
      <w:bodyDiv w:val="1"/>
      <w:marLeft w:val="0"/>
      <w:marRight w:val="0"/>
      <w:marTop w:val="0"/>
      <w:marBottom w:val="0"/>
      <w:divBdr>
        <w:top w:val="none" w:sz="0" w:space="0" w:color="auto"/>
        <w:left w:val="none" w:sz="0" w:space="0" w:color="auto"/>
        <w:bottom w:val="none" w:sz="0" w:space="0" w:color="auto"/>
        <w:right w:val="none" w:sz="0" w:space="0" w:color="auto"/>
      </w:divBdr>
    </w:div>
    <w:div w:id="1009797515">
      <w:bodyDiv w:val="1"/>
      <w:marLeft w:val="0"/>
      <w:marRight w:val="0"/>
      <w:marTop w:val="0"/>
      <w:marBottom w:val="0"/>
      <w:divBdr>
        <w:top w:val="none" w:sz="0" w:space="0" w:color="auto"/>
        <w:left w:val="none" w:sz="0" w:space="0" w:color="auto"/>
        <w:bottom w:val="none" w:sz="0" w:space="0" w:color="auto"/>
        <w:right w:val="none" w:sz="0" w:space="0" w:color="auto"/>
      </w:divBdr>
    </w:div>
    <w:div w:id="1011027119">
      <w:bodyDiv w:val="1"/>
      <w:marLeft w:val="0"/>
      <w:marRight w:val="0"/>
      <w:marTop w:val="0"/>
      <w:marBottom w:val="0"/>
      <w:divBdr>
        <w:top w:val="none" w:sz="0" w:space="0" w:color="auto"/>
        <w:left w:val="none" w:sz="0" w:space="0" w:color="auto"/>
        <w:bottom w:val="none" w:sz="0" w:space="0" w:color="auto"/>
        <w:right w:val="none" w:sz="0" w:space="0" w:color="auto"/>
      </w:divBdr>
    </w:div>
    <w:div w:id="1023478314">
      <w:bodyDiv w:val="1"/>
      <w:marLeft w:val="0"/>
      <w:marRight w:val="0"/>
      <w:marTop w:val="0"/>
      <w:marBottom w:val="0"/>
      <w:divBdr>
        <w:top w:val="none" w:sz="0" w:space="0" w:color="auto"/>
        <w:left w:val="none" w:sz="0" w:space="0" w:color="auto"/>
        <w:bottom w:val="none" w:sz="0" w:space="0" w:color="auto"/>
        <w:right w:val="none" w:sz="0" w:space="0" w:color="auto"/>
      </w:divBdr>
    </w:div>
    <w:div w:id="1025132816">
      <w:bodyDiv w:val="1"/>
      <w:marLeft w:val="0"/>
      <w:marRight w:val="0"/>
      <w:marTop w:val="0"/>
      <w:marBottom w:val="0"/>
      <w:divBdr>
        <w:top w:val="none" w:sz="0" w:space="0" w:color="auto"/>
        <w:left w:val="none" w:sz="0" w:space="0" w:color="auto"/>
        <w:bottom w:val="none" w:sz="0" w:space="0" w:color="auto"/>
        <w:right w:val="none" w:sz="0" w:space="0" w:color="auto"/>
      </w:divBdr>
    </w:div>
    <w:div w:id="1027491520">
      <w:bodyDiv w:val="1"/>
      <w:marLeft w:val="0"/>
      <w:marRight w:val="0"/>
      <w:marTop w:val="0"/>
      <w:marBottom w:val="0"/>
      <w:divBdr>
        <w:top w:val="none" w:sz="0" w:space="0" w:color="auto"/>
        <w:left w:val="none" w:sz="0" w:space="0" w:color="auto"/>
        <w:bottom w:val="none" w:sz="0" w:space="0" w:color="auto"/>
        <w:right w:val="none" w:sz="0" w:space="0" w:color="auto"/>
      </w:divBdr>
    </w:div>
    <w:div w:id="1036348331">
      <w:bodyDiv w:val="1"/>
      <w:marLeft w:val="0"/>
      <w:marRight w:val="0"/>
      <w:marTop w:val="0"/>
      <w:marBottom w:val="0"/>
      <w:divBdr>
        <w:top w:val="none" w:sz="0" w:space="0" w:color="auto"/>
        <w:left w:val="none" w:sz="0" w:space="0" w:color="auto"/>
        <w:bottom w:val="none" w:sz="0" w:space="0" w:color="auto"/>
        <w:right w:val="none" w:sz="0" w:space="0" w:color="auto"/>
      </w:divBdr>
    </w:div>
    <w:div w:id="1037580427">
      <w:bodyDiv w:val="1"/>
      <w:marLeft w:val="0"/>
      <w:marRight w:val="0"/>
      <w:marTop w:val="0"/>
      <w:marBottom w:val="0"/>
      <w:divBdr>
        <w:top w:val="none" w:sz="0" w:space="0" w:color="auto"/>
        <w:left w:val="none" w:sz="0" w:space="0" w:color="auto"/>
        <w:bottom w:val="none" w:sz="0" w:space="0" w:color="auto"/>
        <w:right w:val="none" w:sz="0" w:space="0" w:color="auto"/>
      </w:divBdr>
    </w:div>
    <w:div w:id="1040587897">
      <w:bodyDiv w:val="1"/>
      <w:marLeft w:val="0"/>
      <w:marRight w:val="0"/>
      <w:marTop w:val="0"/>
      <w:marBottom w:val="0"/>
      <w:divBdr>
        <w:top w:val="none" w:sz="0" w:space="0" w:color="auto"/>
        <w:left w:val="none" w:sz="0" w:space="0" w:color="auto"/>
        <w:bottom w:val="none" w:sz="0" w:space="0" w:color="auto"/>
        <w:right w:val="none" w:sz="0" w:space="0" w:color="auto"/>
      </w:divBdr>
    </w:div>
    <w:div w:id="1043290301">
      <w:bodyDiv w:val="1"/>
      <w:marLeft w:val="0"/>
      <w:marRight w:val="0"/>
      <w:marTop w:val="0"/>
      <w:marBottom w:val="0"/>
      <w:divBdr>
        <w:top w:val="none" w:sz="0" w:space="0" w:color="auto"/>
        <w:left w:val="none" w:sz="0" w:space="0" w:color="auto"/>
        <w:bottom w:val="none" w:sz="0" w:space="0" w:color="auto"/>
        <w:right w:val="none" w:sz="0" w:space="0" w:color="auto"/>
      </w:divBdr>
    </w:div>
    <w:div w:id="1047729488">
      <w:bodyDiv w:val="1"/>
      <w:marLeft w:val="0"/>
      <w:marRight w:val="0"/>
      <w:marTop w:val="0"/>
      <w:marBottom w:val="0"/>
      <w:divBdr>
        <w:top w:val="none" w:sz="0" w:space="0" w:color="auto"/>
        <w:left w:val="none" w:sz="0" w:space="0" w:color="auto"/>
        <w:bottom w:val="none" w:sz="0" w:space="0" w:color="auto"/>
        <w:right w:val="none" w:sz="0" w:space="0" w:color="auto"/>
      </w:divBdr>
    </w:div>
    <w:div w:id="1047802417">
      <w:bodyDiv w:val="1"/>
      <w:marLeft w:val="0"/>
      <w:marRight w:val="0"/>
      <w:marTop w:val="0"/>
      <w:marBottom w:val="0"/>
      <w:divBdr>
        <w:top w:val="none" w:sz="0" w:space="0" w:color="auto"/>
        <w:left w:val="none" w:sz="0" w:space="0" w:color="auto"/>
        <w:bottom w:val="none" w:sz="0" w:space="0" w:color="auto"/>
        <w:right w:val="none" w:sz="0" w:space="0" w:color="auto"/>
      </w:divBdr>
    </w:div>
    <w:div w:id="1051270263">
      <w:bodyDiv w:val="1"/>
      <w:marLeft w:val="0"/>
      <w:marRight w:val="0"/>
      <w:marTop w:val="0"/>
      <w:marBottom w:val="0"/>
      <w:divBdr>
        <w:top w:val="none" w:sz="0" w:space="0" w:color="auto"/>
        <w:left w:val="none" w:sz="0" w:space="0" w:color="auto"/>
        <w:bottom w:val="none" w:sz="0" w:space="0" w:color="auto"/>
        <w:right w:val="none" w:sz="0" w:space="0" w:color="auto"/>
      </w:divBdr>
    </w:div>
    <w:div w:id="1052072705">
      <w:bodyDiv w:val="1"/>
      <w:marLeft w:val="0"/>
      <w:marRight w:val="0"/>
      <w:marTop w:val="0"/>
      <w:marBottom w:val="0"/>
      <w:divBdr>
        <w:top w:val="none" w:sz="0" w:space="0" w:color="auto"/>
        <w:left w:val="none" w:sz="0" w:space="0" w:color="auto"/>
        <w:bottom w:val="none" w:sz="0" w:space="0" w:color="auto"/>
        <w:right w:val="none" w:sz="0" w:space="0" w:color="auto"/>
      </w:divBdr>
    </w:div>
    <w:div w:id="1057126944">
      <w:bodyDiv w:val="1"/>
      <w:marLeft w:val="0"/>
      <w:marRight w:val="0"/>
      <w:marTop w:val="0"/>
      <w:marBottom w:val="0"/>
      <w:divBdr>
        <w:top w:val="none" w:sz="0" w:space="0" w:color="auto"/>
        <w:left w:val="none" w:sz="0" w:space="0" w:color="auto"/>
        <w:bottom w:val="none" w:sz="0" w:space="0" w:color="auto"/>
        <w:right w:val="none" w:sz="0" w:space="0" w:color="auto"/>
      </w:divBdr>
    </w:div>
    <w:div w:id="1057706335">
      <w:bodyDiv w:val="1"/>
      <w:marLeft w:val="0"/>
      <w:marRight w:val="0"/>
      <w:marTop w:val="0"/>
      <w:marBottom w:val="0"/>
      <w:divBdr>
        <w:top w:val="none" w:sz="0" w:space="0" w:color="auto"/>
        <w:left w:val="none" w:sz="0" w:space="0" w:color="auto"/>
        <w:bottom w:val="none" w:sz="0" w:space="0" w:color="auto"/>
        <w:right w:val="none" w:sz="0" w:space="0" w:color="auto"/>
      </w:divBdr>
    </w:div>
    <w:div w:id="1061290339">
      <w:bodyDiv w:val="1"/>
      <w:marLeft w:val="0"/>
      <w:marRight w:val="0"/>
      <w:marTop w:val="0"/>
      <w:marBottom w:val="0"/>
      <w:divBdr>
        <w:top w:val="none" w:sz="0" w:space="0" w:color="auto"/>
        <w:left w:val="none" w:sz="0" w:space="0" w:color="auto"/>
        <w:bottom w:val="none" w:sz="0" w:space="0" w:color="auto"/>
        <w:right w:val="none" w:sz="0" w:space="0" w:color="auto"/>
      </w:divBdr>
    </w:div>
    <w:div w:id="1070346680">
      <w:bodyDiv w:val="1"/>
      <w:marLeft w:val="0"/>
      <w:marRight w:val="0"/>
      <w:marTop w:val="0"/>
      <w:marBottom w:val="0"/>
      <w:divBdr>
        <w:top w:val="none" w:sz="0" w:space="0" w:color="auto"/>
        <w:left w:val="none" w:sz="0" w:space="0" w:color="auto"/>
        <w:bottom w:val="none" w:sz="0" w:space="0" w:color="auto"/>
        <w:right w:val="none" w:sz="0" w:space="0" w:color="auto"/>
      </w:divBdr>
    </w:div>
    <w:div w:id="1071080214">
      <w:bodyDiv w:val="1"/>
      <w:marLeft w:val="0"/>
      <w:marRight w:val="0"/>
      <w:marTop w:val="0"/>
      <w:marBottom w:val="0"/>
      <w:divBdr>
        <w:top w:val="none" w:sz="0" w:space="0" w:color="auto"/>
        <w:left w:val="none" w:sz="0" w:space="0" w:color="auto"/>
        <w:bottom w:val="none" w:sz="0" w:space="0" w:color="auto"/>
        <w:right w:val="none" w:sz="0" w:space="0" w:color="auto"/>
      </w:divBdr>
    </w:div>
    <w:div w:id="1071388993">
      <w:bodyDiv w:val="1"/>
      <w:marLeft w:val="0"/>
      <w:marRight w:val="0"/>
      <w:marTop w:val="0"/>
      <w:marBottom w:val="0"/>
      <w:divBdr>
        <w:top w:val="none" w:sz="0" w:space="0" w:color="auto"/>
        <w:left w:val="none" w:sz="0" w:space="0" w:color="auto"/>
        <w:bottom w:val="none" w:sz="0" w:space="0" w:color="auto"/>
        <w:right w:val="none" w:sz="0" w:space="0" w:color="auto"/>
      </w:divBdr>
    </w:div>
    <w:div w:id="1077630069">
      <w:bodyDiv w:val="1"/>
      <w:marLeft w:val="0"/>
      <w:marRight w:val="0"/>
      <w:marTop w:val="0"/>
      <w:marBottom w:val="0"/>
      <w:divBdr>
        <w:top w:val="none" w:sz="0" w:space="0" w:color="auto"/>
        <w:left w:val="none" w:sz="0" w:space="0" w:color="auto"/>
        <w:bottom w:val="none" w:sz="0" w:space="0" w:color="auto"/>
        <w:right w:val="none" w:sz="0" w:space="0" w:color="auto"/>
      </w:divBdr>
    </w:div>
    <w:div w:id="1085881425">
      <w:bodyDiv w:val="1"/>
      <w:marLeft w:val="0"/>
      <w:marRight w:val="0"/>
      <w:marTop w:val="0"/>
      <w:marBottom w:val="0"/>
      <w:divBdr>
        <w:top w:val="none" w:sz="0" w:space="0" w:color="auto"/>
        <w:left w:val="none" w:sz="0" w:space="0" w:color="auto"/>
        <w:bottom w:val="none" w:sz="0" w:space="0" w:color="auto"/>
        <w:right w:val="none" w:sz="0" w:space="0" w:color="auto"/>
      </w:divBdr>
    </w:div>
    <w:div w:id="1086541029">
      <w:bodyDiv w:val="1"/>
      <w:marLeft w:val="0"/>
      <w:marRight w:val="0"/>
      <w:marTop w:val="0"/>
      <w:marBottom w:val="0"/>
      <w:divBdr>
        <w:top w:val="none" w:sz="0" w:space="0" w:color="auto"/>
        <w:left w:val="none" w:sz="0" w:space="0" w:color="auto"/>
        <w:bottom w:val="none" w:sz="0" w:space="0" w:color="auto"/>
        <w:right w:val="none" w:sz="0" w:space="0" w:color="auto"/>
      </w:divBdr>
    </w:div>
    <w:div w:id="1093353525">
      <w:bodyDiv w:val="1"/>
      <w:marLeft w:val="0"/>
      <w:marRight w:val="0"/>
      <w:marTop w:val="0"/>
      <w:marBottom w:val="0"/>
      <w:divBdr>
        <w:top w:val="none" w:sz="0" w:space="0" w:color="auto"/>
        <w:left w:val="none" w:sz="0" w:space="0" w:color="auto"/>
        <w:bottom w:val="none" w:sz="0" w:space="0" w:color="auto"/>
        <w:right w:val="none" w:sz="0" w:space="0" w:color="auto"/>
      </w:divBdr>
    </w:div>
    <w:div w:id="1101221330">
      <w:bodyDiv w:val="1"/>
      <w:marLeft w:val="0"/>
      <w:marRight w:val="0"/>
      <w:marTop w:val="0"/>
      <w:marBottom w:val="0"/>
      <w:divBdr>
        <w:top w:val="none" w:sz="0" w:space="0" w:color="auto"/>
        <w:left w:val="none" w:sz="0" w:space="0" w:color="auto"/>
        <w:bottom w:val="none" w:sz="0" w:space="0" w:color="auto"/>
        <w:right w:val="none" w:sz="0" w:space="0" w:color="auto"/>
      </w:divBdr>
    </w:div>
    <w:div w:id="1108892185">
      <w:bodyDiv w:val="1"/>
      <w:marLeft w:val="0"/>
      <w:marRight w:val="0"/>
      <w:marTop w:val="0"/>
      <w:marBottom w:val="0"/>
      <w:divBdr>
        <w:top w:val="none" w:sz="0" w:space="0" w:color="auto"/>
        <w:left w:val="none" w:sz="0" w:space="0" w:color="auto"/>
        <w:bottom w:val="none" w:sz="0" w:space="0" w:color="auto"/>
        <w:right w:val="none" w:sz="0" w:space="0" w:color="auto"/>
      </w:divBdr>
    </w:div>
    <w:div w:id="1115753707">
      <w:bodyDiv w:val="1"/>
      <w:marLeft w:val="0"/>
      <w:marRight w:val="0"/>
      <w:marTop w:val="0"/>
      <w:marBottom w:val="0"/>
      <w:divBdr>
        <w:top w:val="none" w:sz="0" w:space="0" w:color="auto"/>
        <w:left w:val="none" w:sz="0" w:space="0" w:color="auto"/>
        <w:bottom w:val="none" w:sz="0" w:space="0" w:color="auto"/>
        <w:right w:val="none" w:sz="0" w:space="0" w:color="auto"/>
      </w:divBdr>
    </w:div>
    <w:div w:id="1119176971">
      <w:bodyDiv w:val="1"/>
      <w:marLeft w:val="0"/>
      <w:marRight w:val="0"/>
      <w:marTop w:val="0"/>
      <w:marBottom w:val="0"/>
      <w:divBdr>
        <w:top w:val="none" w:sz="0" w:space="0" w:color="auto"/>
        <w:left w:val="none" w:sz="0" w:space="0" w:color="auto"/>
        <w:bottom w:val="none" w:sz="0" w:space="0" w:color="auto"/>
        <w:right w:val="none" w:sz="0" w:space="0" w:color="auto"/>
      </w:divBdr>
    </w:div>
    <w:div w:id="1123234612">
      <w:bodyDiv w:val="1"/>
      <w:marLeft w:val="0"/>
      <w:marRight w:val="0"/>
      <w:marTop w:val="0"/>
      <w:marBottom w:val="0"/>
      <w:divBdr>
        <w:top w:val="none" w:sz="0" w:space="0" w:color="auto"/>
        <w:left w:val="none" w:sz="0" w:space="0" w:color="auto"/>
        <w:bottom w:val="none" w:sz="0" w:space="0" w:color="auto"/>
        <w:right w:val="none" w:sz="0" w:space="0" w:color="auto"/>
      </w:divBdr>
    </w:div>
    <w:div w:id="1128354399">
      <w:bodyDiv w:val="1"/>
      <w:marLeft w:val="0"/>
      <w:marRight w:val="0"/>
      <w:marTop w:val="0"/>
      <w:marBottom w:val="0"/>
      <w:divBdr>
        <w:top w:val="none" w:sz="0" w:space="0" w:color="auto"/>
        <w:left w:val="none" w:sz="0" w:space="0" w:color="auto"/>
        <w:bottom w:val="none" w:sz="0" w:space="0" w:color="auto"/>
        <w:right w:val="none" w:sz="0" w:space="0" w:color="auto"/>
      </w:divBdr>
    </w:div>
    <w:div w:id="1132865413">
      <w:bodyDiv w:val="1"/>
      <w:marLeft w:val="0"/>
      <w:marRight w:val="0"/>
      <w:marTop w:val="0"/>
      <w:marBottom w:val="0"/>
      <w:divBdr>
        <w:top w:val="none" w:sz="0" w:space="0" w:color="auto"/>
        <w:left w:val="none" w:sz="0" w:space="0" w:color="auto"/>
        <w:bottom w:val="none" w:sz="0" w:space="0" w:color="auto"/>
        <w:right w:val="none" w:sz="0" w:space="0" w:color="auto"/>
      </w:divBdr>
    </w:div>
    <w:div w:id="1135681635">
      <w:bodyDiv w:val="1"/>
      <w:marLeft w:val="0"/>
      <w:marRight w:val="0"/>
      <w:marTop w:val="0"/>
      <w:marBottom w:val="0"/>
      <w:divBdr>
        <w:top w:val="none" w:sz="0" w:space="0" w:color="auto"/>
        <w:left w:val="none" w:sz="0" w:space="0" w:color="auto"/>
        <w:bottom w:val="none" w:sz="0" w:space="0" w:color="auto"/>
        <w:right w:val="none" w:sz="0" w:space="0" w:color="auto"/>
      </w:divBdr>
    </w:div>
    <w:div w:id="1136991433">
      <w:bodyDiv w:val="1"/>
      <w:marLeft w:val="0"/>
      <w:marRight w:val="0"/>
      <w:marTop w:val="0"/>
      <w:marBottom w:val="0"/>
      <w:divBdr>
        <w:top w:val="none" w:sz="0" w:space="0" w:color="auto"/>
        <w:left w:val="none" w:sz="0" w:space="0" w:color="auto"/>
        <w:bottom w:val="none" w:sz="0" w:space="0" w:color="auto"/>
        <w:right w:val="none" w:sz="0" w:space="0" w:color="auto"/>
      </w:divBdr>
    </w:div>
    <w:div w:id="1140928319">
      <w:bodyDiv w:val="1"/>
      <w:marLeft w:val="0"/>
      <w:marRight w:val="0"/>
      <w:marTop w:val="0"/>
      <w:marBottom w:val="0"/>
      <w:divBdr>
        <w:top w:val="none" w:sz="0" w:space="0" w:color="auto"/>
        <w:left w:val="none" w:sz="0" w:space="0" w:color="auto"/>
        <w:bottom w:val="none" w:sz="0" w:space="0" w:color="auto"/>
        <w:right w:val="none" w:sz="0" w:space="0" w:color="auto"/>
      </w:divBdr>
    </w:div>
    <w:div w:id="1141800130">
      <w:bodyDiv w:val="1"/>
      <w:marLeft w:val="0"/>
      <w:marRight w:val="0"/>
      <w:marTop w:val="0"/>
      <w:marBottom w:val="0"/>
      <w:divBdr>
        <w:top w:val="none" w:sz="0" w:space="0" w:color="auto"/>
        <w:left w:val="none" w:sz="0" w:space="0" w:color="auto"/>
        <w:bottom w:val="none" w:sz="0" w:space="0" w:color="auto"/>
        <w:right w:val="none" w:sz="0" w:space="0" w:color="auto"/>
      </w:divBdr>
    </w:div>
    <w:div w:id="1152718806">
      <w:bodyDiv w:val="1"/>
      <w:marLeft w:val="0"/>
      <w:marRight w:val="0"/>
      <w:marTop w:val="0"/>
      <w:marBottom w:val="0"/>
      <w:divBdr>
        <w:top w:val="none" w:sz="0" w:space="0" w:color="auto"/>
        <w:left w:val="none" w:sz="0" w:space="0" w:color="auto"/>
        <w:bottom w:val="none" w:sz="0" w:space="0" w:color="auto"/>
        <w:right w:val="none" w:sz="0" w:space="0" w:color="auto"/>
      </w:divBdr>
    </w:div>
    <w:div w:id="1157890112">
      <w:bodyDiv w:val="1"/>
      <w:marLeft w:val="0"/>
      <w:marRight w:val="0"/>
      <w:marTop w:val="0"/>
      <w:marBottom w:val="0"/>
      <w:divBdr>
        <w:top w:val="none" w:sz="0" w:space="0" w:color="auto"/>
        <w:left w:val="none" w:sz="0" w:space="0" w:color="auto"/>
        <w:bottom w:val="none" w:sz="0" w:space="0" w:color="auto"/>
        <w:right w:val="none" w:sz="0" w:space="0" w:color="auto"/>
      </w:divBdr>
    </w:div>
    <w:div w:id="1159157299">
      <w:bodyDiv w:val="1"/>
      <w:marLeft w:val="0"/>
      <w:marRight w:val="0"/>
      <w:marTop w:val="0"/>
      <w:marBottom w:val="0"/>
      <w:divBdr>
        <w:top w:val="none" w:sz="0" w:space="0" w:color="auto"/>
        <w:left w:val="none" w:sz="0" w:space="0" w:color="auto"/>
        <w:bottom w:val="none" w:sz="0" w:space="0" w:color="auto"/>
        <w:right w:val="none" w:sz="0" w:space="0" w:color="auto"/>
      </w:divBdr>
    </w:div>
    <w:div w:id="1161627094">
      <w:bodyDiv w:val="1"/>
      <w:marLeft w:val="0"/>
      <w:marRight w:val="0"/>
      <w:marTop w:val="0"/>
      <w:marBottom w:val="0"/>
      <w:divBdr>
        <w:top w:val="none" w:sz="0" w:space="0" w:color="auto"/>
        <w:left w:val="none" w:sz="0" w:space="0" w:color="auto"/>
        <w:bottom w:val="none" w:sz="0" w:space="0" w:color="auto"/>
        <w:right w:val="none" w:sz="0" w:space="0" w:color="auto"/>
      </w:divBdr>
    </w:div>
    <w:div w:id="1164006478">
      <w:bodyDiv w:val="1"/>
      <w:marLeft w:val="0"/>
      <w:marRight w:val="0"/>
      <w:marTop w:val="0"/>
      <w:marBottom w:val="0"/>
      <w:divBdr>
        <w:top w:val="none" w:sz="0" w:space="0" w:color="auto"/>
        <w:left w:val="none" w:sz="0" w:space="0" w:color="auto"/>
        <w:bottom w:val="none" w:sz="0" w:space="0" w:color="auto"/>
        <w:right w:val="none" w:sz="0" w:space="0" w:color="auto"/>
      </w:divBdr>
    </w:div>
    <w:div w:id="1173765443">
      <w:bodyDiv w:val="1"/>
      <w:marLeft w:val="0"/>
      <w:marRight w:val="0"/>
      <w:marTop w:val="0"/>
      <w:marBottom w:val="0"/>
      <w:divBdr>
        <w:top w:val="none" w:sz="0" w:space="0" w:color="auto"/>
        <w:left w:val="none" w:sz="0" w:space="0" w:color="auto"/>
        <w:bottom w:val="none" w:sz="0" w:space="0" w:color="auto"/>
        <w:right w:val="none" w:sz="0" w:space="0" w:color="auto"/>
      </w:divBdr>
    </w:div>
    <w:div w:id="1174952990">
      <w:bodyDiv w:val="1"/>
      <w:marLeft w:val="0"/>
      <w:marRight w:val="0"/>
      <w:marTop w:val="0"/>
      <w:marBottom w:val="0"/>
      <w:divBdr>
        <w:top w:val="none" w:sz="0" w:space="0" w:color="auto"/>
        <w:left w:val="none" w:sz="0" w:space="0" w:color="auto"/>
        <w:bottom w:val="none" w:sz="0" w:space="0" w:color="auto"/>
        <w:right w:val="none" w:sz="0" w:space="0" w:color="auto"/>
      </w:divBdr>
    </w:div>
    <w:div w:id="1188760882">
      <w:bodyDiv w:val="1"/>
      <w:marLeft w:val="0"/>
      <w:marRight w:val="0"/>
      <w:marTop w:val="0"/>
      <w:marBottom w:val="0"/>
      <w:divBdr>
        <w:top w:val="none" w:sz="0" w:space="0" w:color="auto"/>
        <w:left w:val="none" w:sz="0" w:space="0" w:color="auto"/>
        <w:bottom w:val="none" w:sz="0" w:space="0" w:color="auto"/>
        <w:right w:val="none" w:sz="0" w:space="0" w:color="auto"/>
      </w:divBdr>
    </w:div>
    <w:div w:id="1192839859">
      <w:bodyDiv w:val="1"/>
      <w:marLeft w:val="0"/>
      <w:marRight w:val="0"/>
      <w:marTop w:val="0"/>
      <w:marBottom w:val="0"/>
      <w:divBdr>
        <w:top w:val="none" w:sz="0" w:space="0" w:color="auto"/>
        <w:left w:val="none" w:sz="0" w:space="0" w:color="auto"/>
        <w:bottom w:val="none" w:sz="0" w:space="0" w:color="auto"/>
        <w:right w:val="none" w:sz="0" w:space="0" w:color="auto"/>
      </w:divBdr>
    </w:div>
    <w:div w:id="1192887183">
      <w:bodyDiv w:val="1"/>
      <w:marLeft w:val="0"/>
      <w:marRight w:val="0"/>
      <w:marTop w:val="0"/>
      <w:marBottom w:val="0"/>
      <w:divBdr>
        <w:top w:val="none" w:sz="0" w:space="0" w:color="auto"/>
        <w:left w:val="none" w:sz="0" w:space="0" w:color="auto"/>
        <w:bottom w:val="none" w:sz="0" w:space="0" w:color="auto"/>
        <w:right w:val="none" w:sz="0" w:space="0" w:color="auto"/>
      </w:divBdr>
    </w:div>
    <w:div w:id="1193300753">
      <w:bodyDiv w:val="1"/>
      <w:marLeft w:val="0"/>
      <w:marRight w:val="0"/>
      <w:marTop w:val="0"/>
      <w:marBottom w:val="0"/>
      <w:divBdr>
        <w:top w:val="none" w:sz="0" w:space="0" w:color="auto"/>
        <w:left w:val="none" w:sz="0" w:space="0" w:color="auto"/>
        <w:bottom w:val="none" w:sz="0" w:space="0" w:color="auto"/>
        <w:right w:val="none" w:sz="0" w:space="0" w:color="auto"/>
      </w:divBdr>
    </w:div>
    <w:div w:id="1194273032">
      <w:bodyDiv w:val="1"/>
      <w:marLeft w:val="0"/>
      <w:marRight w:val="0"/>
      <w:marTop w:val="0"/>
      <w:marBottom w:val="0"/>
      <w:divBdr>
        <w:top w:val="none" w:sz="0" w:space="0" w:color="auto"/>
        <w:left w:val="none" w:sz="0" w:space="0" w:color="auto"/>
        <w:bottom w:val="none" w:sz="0" w:space="0" w:color="auto"/>
        <w:right w:val="none" w:sz="0" w:space="0" w:color="auto"/>
      </w:divBdr>
    </w:div>
    <w:div w:id="1195459471">
      <w:bodyDiv w:val="1"/>
      <w:marLeft w:val="0"/>
      <w:marRight w:val="0"/>
      <w:marTop w:val="0"/>
      <w:marBottom w:val="0"/>
      <w:divBdr>
        <w:top w:val="none" w:sz="0" w:space="0" w:color="auto"/>
        <w:left w:val="none" w:sz="0" w:space="0" w:color="auto"/>
        <w:bottom w:val="none" w:sz="0" w:space="0" w:color="auto"/>
        <w:right w:val="none" w:sz="0" w:space="0" w:color="auto"/>
      </w:divBdr>
    </w:div>
    <w:div w:id="1200585221">
      <w:bodyDiv w:val="1"/>
      <w:marLeft w:val="0"/>
      <w:marRight w:val="0"/>
      <w:marTop w:val="0"/>
      <w:marBottom w:val="0"/>
      <w:divBdr>
        <w:top w:val="none" w:sz="0" w:space="0" w:color="auto"/>
        <w:left w:val="none" w:sz="0" w:space="0" w:color="auto"/>
        <w:bottom w:val="none" w:sz="0" w:space="0" w:color="auto"/>
        <w:right w:val="none" w:sz="0" w:space="0" w:color="auto"/>
      </w:divBdr>
    </w:div>
    <w:div w:id="1204095058">
      <w:bodyDiv w:val="1"/>
      <w:marLeft w:val="0"/>
      <w:marRight w:val="0"/>
      <w:marTop w:val="0"/>
      <w:marBottom w:val="0"/>
      <w:divBdr>
        <w:top w:val="none" w:sz="0" w:space="0" w:color="auto"/>
        <w:left w:val="none" w:sz="0" w:space="0" w:color="auto"/>
        <w:bottom w:val="none" w:sz="0" w:space="0" w:color="auto"/>
        <w:right w:val="none" w:sz="0" w:space="0" w:color="auto"/>
      </w:divBdr>
    </w:div>
    <w:div w:id="1204252992">
      <w:bodyDiv w:val="1"/>
      <w:marLeft w:val="0"/>
      <w:marRight w:val="0"/>
      <w:marTop w:val="0"/>
      <w:marBottom w:val="0"/>
      <w:divBdr>
        <w:top w:val="none" w:sz="0" w:space="0" w:color="auto"/>
        <w:left w:val="none" w:sz="0" w:space="0" w:color="auto"/>
        <w:bottom w:val="none" w:sz="0" w:space="0" w:color="auto"/>
        <w:right w:val="none" w:sz="0" w:space="0" w:color="auto"/>
      </w:divBdr>
    </w:div>
    <w:div w:id="1209729937">
      <w:bodyDiv w:val="1"/>
      <w:marLeft w:val="0"/>
      <w:marRight w:val="0"/>
      <w:marTop w:val="0"/>
      <w:marBottom w:val="0"/>
      <w:divBdr>
        <w:top w:val="none" w:sz="0" w:space="0" w:color="auto"/>
        <w:left w:val="none" w:sz="0" w:space="0" w:color="auto"/>
        <w:bottom w:val="none" w:sz="0" w:space="0" w:color="auto"/>
        <w:right w:val="none" w:sz="0" w:space="0" w:color="auto"/>
      </w:divBdr>
    </w:div>
    <w:div w:id="1212232444">
      <w:bodyDiv w:val="1"/>
      <w:marLeft w:val="0"/>
      <w:marRight w:val="0"/>
      <w:marTop w:val="0"/>
      <w:marBottom w:val="0"/>
      <w:divBdr>
        <w:top w:val="none" w:sz="0" w:space="0" w:color="auto"/>
        <w:left w:val="none" w:sz="0" w:space="0" w:color="auto"/>
        <w:bottom w:val="none" w:sz="0" w:space="0" w:color="auto"/>
        <w:right w:val="none" w:sz="0" w:space="0" w:color="auto"/>
      </w:divBdr>
    </w:div>
    <w:div w:id="1212309797">
      <w:bodyDiv w:val="1"/>
      <w:marLeft w:val="0"/>
      <w:marRight w:val="0"/>
      <w:marTop w:val="0"/>
      <w:marBottom w:val="0"/>
      <w:divBdr>
        <w:top w:val="none" w:sz="0" w:space="0" w:color="auto"/>
        <w:left w:val="none" w:sz="0" w:space="0" w:color="auto"/>
        <w:bottom w:val="none" w:sz="0" w:space="0" w:color="auto"/>
        <w:right w:val="none" w:sz="0" w:space="0" w:color="auto"/>
      </w:divBdr>
    </w:div>
    <w:div w:id="1212616283">
      <w:bodyDiv w:val="1"/>
      <w:marLeft w:val="0"/>
      <w:marRight w:val="0"/>
      <w:marTop w:val="0"/>
      <w:marBottom w:val="0"/>
      <w:divBdr>
        <w:top w:val="none" w:sz="0" w:space="0" w:color="auto"/>
        <w:left w:val="none" w:sz="0" w:space="0" w:color="auto"/>
        <w:bottom w:val="none" w:sz="0" w:space="0" w:color="auto"/>
        <w:right w:val="none" w:sz="0" w:space="0" w:color="auto"/>
      </w:divBdr>
    </w:div>
    <w:div w:id="1215964385">
      <w:bodyDiv w:val="1"/>
      <w:marLeft w:val="0"/>
      <w:marRight w:val="0"/>
      <w:marTop w:val="0"/>
      <w:marBottom w:val="0"/>
      <w:divBdr>
        <w:top w:val="none" w:sz="0" w:space="0" w:color="auto"/>
        <w:left w:val="none" w:sz="0" w:space="0" w:color="auto"/>
        <w:bottom w:val="none" w:sz="0" w:space="0" w:color="auto"/>
        <w:right w:val="none" w:sz="0" w:space="0" w:color="auto"/>
      </w:divBdr>
    </w:div>
    <w:div w:id="1216042053">
      <w:bodyDiv w:val="1"/>
      <w:marLeft w:val="0"/>
      <w:marRight w:val="0"/>
      <w:marTop w:val="0"/>
      <w:marBottom w:val="0"/>
      <w:divBdr>
        <w:top w:val="none" w:sz="0" w:space="0" w:color="auto"/>
        <w:left w:val="none" w:sz="0" w:space="0" w:color="auto"/>
        <w:bottom w:val="none" w:sz="0" w:space="0" w:color="auto"/>
        <w:right w:val="none" w:sz="0" w:space="0" w:color="auto"/>
      </w:divBdr>
    </w:div>
    <w:div w:id="1218467972">
      <w:bodyDiv w:val="1"/>
      <w:marLeft w:val="0"/>
      <w:marRight w:val="0"/>
      <w:marTop w:val="0"/>
      <w:marBottom w:val="0"/>
      <w:divBdr>
        <w:top w:val="none" w:sz="0" w:space="0" w:color="auto"/>
        <w:left w:val="none" w:sz="0" w:space="0" w:color="auto"/>
        <w:bottom w:val="none" w:sz="0" w:space="0" w:color="auto"/>
        <w:right w:val="none" w:sz="0" w:space="0" w:color="auto"/>
      </w:divBdr>
    </w:div>
    <w:div w:id="1221135346">
      <w:bodyDiv w:val="1"/>
      <w:marLeft w:val="0"/>
      <w:marRight w:val="0"/>
      <w:marTop w:val="0"/>
      <w:marBottom w:val="0"/>
      <w:divBdr>
        <w:top w:val="none" w:sz="0" w:space="0" w:color="auto"/>
        <w:left w:val="none" w:sz="0" w:space="0" w:color="auto"/>
        <w:bottom w:val="none" w:sz="0" w:space="0" w:color="auto"/>
        <w:right w:val="none" w:sz="0" w:space="0" w:color="auto"/>
      </w:divBdr>
    </w:div>
    <w:div w:id="1221210518">
      <w:bodyDiv w:val="1"/>
      <w:marLeft w:val="0"/>
      <w:marRight w:val="0"/>
      <w:marTop w:val="0"/>
      <w:marBottom w:val="0"/>
      <w:divBdr>
        <w:top w:val="none" w:sz="0" w:space="0" w:color="auto"/>
        <w:left w:val="none" w:sz="0" w:space="0" w:color="auto"/>
        <w:bottom w:val="none" w:sz="0" w:space="0" w:color="auto"/>
        <w:right w:val="none" w:sz="0" w:space="0" w:color="auto"/>
      </w:divBdr>
    </w:div>
    <w:div w:id="1221867761">
      <w:bodyDiv w:val="1"/>
      <w:marLeft w:val="0"/>
      <w:marRight w:val="0"/>
      <w:marTop w:val="0"/>
      <w:marBottom w:val="0"/>
      <w:divBdr>
        <w:top w:val="none" w:sz="0" w:space="0" w:color="auto"/>
        <w:left w:val="none" w:sz="0" w:space="0" w:color="auto"/>
        <w:bottom w:val="none" w:sz="0" w:space="0" w:color="auto"/>
        <w:right w:val="none" w:sz="0" w:space="0" w:color="auto"/>
      </w:divBdr>
    </w:div>
    <w:div w:id="1227764300">
      <w:bodyDiv w:val="1"/>
      <w:marLeft w:val="0"/>
      <w:marRight w:val="0"/>
      <w:marTop w:val="0"/>
      <w:marBottom w:val="0"/>
      <w:divBdr>
        <w:top w:val="none" w:sz="0" w:space="0" w:color="auto"/>
        <w:left w:val="none" w:sz="0" w:space="0" w:color="auto"/>
        <w:bottom w:val="none" w:sz="0" w:space="0" w:color="auto"/>
        <w:right w:val="none" w:sz="0" w:space="0" w:color="auto"/>
      </w:divBdr>
    </w:div>
    <w:div w:id="1228807575">
      <w:bodyDiv w:val="1"/>
      <w:marLeft w:val="0"/>
      <w:marRight w:val="0"/>
      <w:marTop w:val="0"/>
      <w:marBottom w:val="0"/>
      <w:divBdr>
        <w:top w:val="none" w:sz="0" w:space="0" w:color="auto"/>
        <w:left w:val="none" w:sz="0" w:space="0" w:color="auto"/>
        <w:bottom w:val="none" w:sz="0" w:space="0" w:color="auto"/>
        <w:right w:val="none" w:sz="0" w:space="0" w:color="auto"/>
      </w:divBdr>
    </w:div>
    <w:div w:id="1231034884">
      <w:bodyDiv w:val="1"/>
      <w:marLeft w:val="0"/>
      <w:marRight w:val="0"/>
      <w:marTop w:val="0"/>
      <w:marBottom w:val="0"/>
      <w:divBdr>
        <w:top w:val="none" w:sz="0" w:space="0" w:color="auto"/>
        <w:left w:val="none" w:sz="0" w:space="0" w:color="auto"/>
        <w:bottom w:val="none" w:sz="0" w:space="0" w:color="auto"/>
        <w:right w:val="none" w:sz="0" w:space="0" w:color="auto"/>
      </w:divBdr>
    </w:div>
    <w:div w:id="1231040931">
      <w:bodyDiv w:val="1"/>
      <w:marLeft w:val="0"/>
      <w:marRight w:val="0"/>
      <w:marTop w:val="0"/>
      <w:marBottom w:val="0"/>
      <w:divBdr>
        <w:top w:val="none" w:sz="0" w:space="0" w:color="auto"/>
        <w:left w:val="none" w:sz="0" w:space="0" w:color="auto"/>
        <w:bottom w:val="none" w:sz="0" w:space="0" w:color="auto"/>
        <w:right w:val="none" w:sz="0" w:space="0" w:color="auto"/>
      </w:divBdr>
    </w:div>
    <w:div w:id="1232541807">
      <w:bodyDiv w:val="1"/>
      <w:marLeft w:val="0"/>
      <w:marRight w:val="0"/>
      <w:marTop w:val="0"/>
      <w:marBottom w:val="0"/>
      <w:divBdr>
        <w:top w:val="none" w:sz="0" w:space="0" w:color="auto"/>
        <w:left w:val="none" w:sz="0" w:space="0" w:color="auto"/>
        <w:bottom w:val="none" w:sz="0" w:space="0" w:color="auto"/>
        <w:right w:val="none" w:sz="0" w:space="0" w:color="auto"/>
      </w:divBdr>
    </w:div>
    <w:div w:id="1237208019">
      <w:bodyDiv w:val="1"/>
      <w:marLeft w:val="0"/>
      <w:marRight w:val="0"/>
      <w:marTop w:val="0"/>
      <w:marBottom w:val="0"/>
      <w:divBdr>
        <w:top w:val="none" w:sz="0" w:space="0" w:color="auto"/>
        <w:left w:val="none" w:sz="0" w:space="0" w:color="auto"/>
        <w:bottom w:val="none" w:sz="0" w:space="0" w:color="auto"/>
        <w:right w:val="none" w:sz="0" w:space="0" w:color="auto"/>
      </w:divBdr>
    </w:div>
    <w:div w:id="1241713337">
      <w:bodyDiv w:val="1"/>
      <w:marLeft w:val="0"/>
      <w:marRight w:val="0"/>
      <w:marTop w:val="0"/>
      <w:marBottom w:val="0"/>
      <w:divBdr>
        <w:top w:val="none" w:sz="0" w:space="0" w:color="auto"/>
        <w:left w:val="none" w:sz="0" w:space="0" w:color="auto"/>
        <w:bottom w:val="none" w:sz="0" w:space="0" w:color="auto"/>
        <w:right w:val="none" w:sz="0" w:space="0" w:color="auto"/>
      </w:divBdr>
    </w:div>
    <w:div w:id="1243954840">
      <w:bodyDiv w:val="1"/>
      <w:marLeft w:val="0"/>
      <w:marRight w:val="0"/>
      <w:marTop w:val="0"/>
      <w:marBottom w:val="0"/>
      <w:divBdr>
        <w:top w:val="none" w:sz="0" w:space="0" w:color="auto"/>
        <w:left w:val="none" w:sz="0" w:space="0" w:color="auto"/>
        <w:bottom w:val="none" w:sz="0" w:space="0" w:color="auto"/>
        <w:right w:val="none" w:sz="0" w:space="0" w:color="auto"/>
      </w:divBdr>
    </w:div>
    <w:div w:id="1247417640">
      <w:bodyDiv w:val="1"/>
      <w:marLeft w:val="0"/>
      <w:marRight w:val="0"/>
      <w:marTop w:val="0"/>
      <w:marBottom w:val="0"/>
      <w:divBdr>
        <w:top w:val="none" w:sz="0" w:space="0" w:color="auto"/>
        <w:left w:val="none" w:sz="0" w:space="0" w:color="auto"/>
        <w:bottom w:val="none" w:sz="0" w:space="0" w:color="auto"/>
        <w:right w:val="none" w:sz="0" w:space="0" w:color="auto"/>
      </w:divBdr>
    </w:div>
    <w:div w:id="1249315136">
      <w:bodyDiv w:val="1"/>
      <w:marLeft w:val="0"/>
      <w:marRight w:val="0"/>
      <w:marTop w:val="0"/>
      <w:marBottom w:val="0"/>
      <w:divBdr>
        <w:top w:val="none" w:sz="0" w:space="0" w:color="auto"/>
        <w:left w:val="none" w:sz="0" w:space="0" w:color="auto"/>
        <w:bottom w:val="none" w:sz="0" w:space="0" w:color="auto"/>
        <w:right w:val="none" w:sz="0" w:space="0" w:color="auto"/>
      </w:divBdr>
    </w:div>
    <w:div w:id="1249315870">
      <w:bodyDiv w:val="1"/>
      <w:marLeft w:val="0"/>
      <w:marRight w:val="0"/>
      <w:marTop w:val="0"/>
      <w:marBottom w:val="0"/>
      <w:divBdr>
        <w:top w:val="none" w:sz="0" w:space="0" w:color="auto"/>
        <w:left w:val="none" w:sz="0" w:space="0" w:color="auto"/>
        <w:bottom w:val="none" w:sz="0" w:space="0" w:color="auto"/>
        <w:right w:val="none" w:sz="0" w:space="0" w:color="auto"/>
      </w:divBdr>
    </w:div>
    <w:div w:id="1251502937">
      <w:bodyDiv w:val="1"/>
      <w:marLeft w:val="0"/>
      <w:marRight w:val="0"/>
      <w:marTop w:val="0"/>
      <w:marBottom w:val="0"/>
      <w:divBdr>
        <w:top w:val="none" w:sz="0" w:space="0" w:color="auto"/>
        <w:left w:val="none" w:sz="0" w:space="0" w:color="auto"/>
        <w:bottom w:val="none" w:sz="0" w:space="0" w:color="auto"/>
        <w:right w:val="none" w:sz="0" w:space="0" w:color="auto"/>
      </w:divBdr>
    </w:div>
    <w:div w:id="1253590279">
      <w:bodyDiv w:val="1"/>
      <w:marLeft w:val="0"/>
      <w:marRight w:val="0"/>
      <w:marTop w:val="0"/>
      <w:marBottom w:val="0"/>
      <w:divBdr>
        <w:top w:val="none" w:sz="0" w:space="0" w:color="auto"/>
        <w:left w:val="none" w:sz="0" w:space="0" w:color="auto"/>
        <w:bottom w:val="none" w:sz="0" w:space="0" w:color="auto"/>
        <w:right w:val="none" w:sz="0" w:space="0" w:color="auto"/>
      </w:divBdr>
    </w:div>
    <w:div w:id="1253928087">
      <w:bodyDiv w:val="1"/>
      <w:marLeft w:val="0"/>
      <w:marRight w:val="0"/>
      <w:marTop w:val="0"/>
      <w:marBottom w:val="0"/>
      <w:divBdr>
        <w:top w:val="none" w:sz="0" w:space="0" w:color="auto"/>
        <w:left w:val="none" w:sz="0" w:space="0" w:color="auto"/>
        <w:bottom w:val="none" w:sz="0" w:space="0" w:color="auto"/>
        <w:right w:val="none" w:sz="0" w:space="0" w:color="auto"/>
      </w:divBdr>
    </w:div>
    <w:div w:id="1259948176">
      <w:bodyDiv w:val="1"/>
      <w:marLeft w:val="0"/>
      <w:marRight w:val="0"/>
      <w:marTop w:val="0"/>
      <w:marBottom w:val="0"/>
      <w:divBdr>
        <w:top w:val="none" w:sz="0" w:space="0" w:color="auto"/>
        <w:left w:val="none" w:sz="0" w:space="0" w:color="auto"/>
        <w:bottom w:val="none" w:sz="0" w:space="0" w:color="auto"/>
        <w:right w:val="none" w:sz="0" w:space="0" w:color="auto"/>
      </w:divBdr>
    </w:div>
    <w:div w:id="1266574007">
      <w:bodyDiv w:val="1"/>
      <w:marLeft w:val="0"/>
      <w:marRight w:val="0"/>
      <w:marTop w:val="0"/>
      <w:marBottom w:val="0"/>
      <w:divBdr>
        <w:top w:val="none" w:sz="0" w:space="0" w:color="auto"/>
        <w:left w:val="none" w:sz="0" w:space="0" w:color="auto"/>
        <w:bottom w:val="none" w:sz="0" w:space="0" w:color="auto"/>
        <w:right w:val="none" w:sz="0" w:space="0" w:color="auto"/>
      </w:divBdr>
    </w:div>
    <w:div w:id="1269242697">
      <w:bodyDiv w:val="1"/>
      <w:marLeft w:val="0"/>
      <w:marRight w:val="0"/>
      <w:marTop w:val="0"/>
      <w:marBottom w:val="0"/>
      <w:divBdr>
        <w:top w:val="none" w:sz="0" w:space="0" w:color="auto"/>
        <w:left w:val="none" w:sz="0" w:space="0" w:color="auto"/>
        <w:bottom w:val="none" w:sz="0" w:space="0" w:color="auto"/>
        <w:right w:val="none" w:sz="0" w:space="0" w:color="auto"/>
      </w:divBdr>
    </w:div>
    <w:div w:id="1271622677">
      <w:bodyDiv w:val="1"/>
      <w:marLeft w:val="0"/>
      <w:marRight w:val="0"/>
      <w:marTop w:val="0"/>
      <w:marBottom w:val="0"/>
      <w:divBdr>
        <w:top w:val="none" w:sz="0" w:space="0" w:color="auto"/>
        <w:left w:val="none" w:sz="0" w:space="0" w:color="auto"/>
        <w:bottom w:val="none" w:sz="0" w:space="0" w:color="auto"/>
        <w:right w:val="none" w:sz="0" w:space="0" w:color="auto"/>
      </w:divBdr>
    </w:div>
    <w:div w:id="1276789019">
      <w:bodyDiv w:val="1"/>
      <w:marLeft w:val="0"/>
      <w:marRight w:val="0"/>
      <w:marTop w:val="0"/>
      <w:marBottom w:val="0"/>
      <w:divBdr>
        <w:top w:val="none" w:sz="0" w:space="0" w:color="auto"/>
        <w:left w:val="none" w:sz="0" w:space="0" w:color="auto"/>
        <w:bottom w:val="none" w:sz="0" w:space="0" w:color="auto"/>
        <w:right w:val="none" w:sz="0" w:space="0" w:color="auto"/>
      </w:divBdr>
      <w:divsChild>
        <w:div w:id="2025547061">
          <w:marLeft w:val="0"/>
          <w:marRight w:val="0"/>
          <w:marTop w:val="0"/>
          <w:marBottom w:val="0"/>
          <w:divBdr>
            <w:top w:val="none" w:sz="0" w:space="0" w:color="auto"/>
            <w:left w:val="none" w:sz="0" w:space="0" w:color="auto"/>
            <w:bottom w:val="none" w:sz="0" w:space="0" w:color="auto"/>
            <w:right w:val="none" w:sz="0" w:space="0" w:color="auto"/>
          </w:divBdr>
          <w:divsChild>
            <w:div w:id="924874663">
              <w:marLeft w:val="0"/>
              <w:marRight w:val="0"/>
              <w:marTop w:val="0"/>
              <w:marBottom w:val="0"/>
              <w:divBdr>
                <w:top w:val="none" w:sz="0" w:space="0" w:color="auto"/>
                <w:left w:val="none" w:sz="0" w:space="0" w:color="auto"/>
                <w:bottom w:val="none" w:sz="0" w:space="0" w:color="auto"/>
                <w:right w:val="none" w:sz="0" w:space="0" w:color="auto"/>
              </w:divBdr>
              <w:divsChild>
                <w:div w:id="664362719">
                  <w:marLeft w:val="0"/>
                  <w:marRight w:val="0"/>
                  <w:marTop w:val="0"/>
                  <w:marBottom w:val="0"/>
                  <w:divBdr>
                    <w:top w:val="none" w:sz="0" w:space="0" w:color="auto"/>
                    <w:left w:val="none" w:sz="0" w:space="0" w:color="auto"/>
                    <w:bottom w:val="none" w:sz="0" w:space="0" w:color="auto"/>
                    <w:right w:val="none" w:sz="0" w:space="0" w:color="auto"/>
                  </w:divBdr>
                  <w:divsChild>
                    <w:div w:id="1137915001">
                      <w:marLeft w:val="0"/>
                      <w:marRight w:val="0"/>
                      <w:marTop w:val="0"/>
                      <w:marBottom w:val="0"/>
                      <w:divBdr>
                        <w:top w:val="none" w:sz="0" w:space="0" w:color="auto"/>
                        <w:left w:val="none" w:sz="0" w:space="0" w:color="auto"/>
                        <w:bottom w:val="none" w:sz="0" w:space="0" w:color="auto"/>
                        <w:right w:val="none" w:sz="0" w:space="0" w:color="auto"/>
                      </w:divBdr>
                      <w:divsChild>
                        <w:div w:id="1141458877">
                          <w:marLeft w:val="0"/>
                          <w:marRight w:val="0"/>
                          <w:marTop w:val="0"/>
                          <w:marBottom w:val="0"/>
                          <w:divBdr>
                            <w:top w:val="none" w:sz="0" w:space="0" w:color="auto"/>
                            <w:left w:val="none" w:sz="0" w:space="0" w:color="auto"/>
                            <w:bottom w:val="none" w:sz="0" w:space="0" w:color="auto"/>
                            <w:right w:val="none" w:sz="0" w:space="0" w:color="auto"/>
                          </w:divBdr>
                          <w:divsChild>
                            <w:div w:id="724067153">
                              <w:marLeft w:val="0"/>
                              <w:marRight w:val="0"/>
                              <w:marTop w:val="0"/>
                              <w:marBottom w:val="0"/>
                              <w:divBdr>
                                <w:top w:val="none" w:sz="0" w:space="0" w:color="auto"/>
                                <w:left w:val="none" w:sz="0" w:space="0" w:color="auto"/>
                                <w:bottom w:val="none" w:sz="0" w:space="0" w:color="auto"/>
                                <w:right w:val="none" w:sz="0" w:space="0" w:color="auto"/>
                              </w:divBdr>
                              <w:divsChild>
                                <w:div w:id="1763649673">
                                  <w:marLeft w:val="0"/>
                                  <w:marRight w:val="0"/>
                                  <w:marTop w:val="0"/>
                                  <w:marBottom w:val="0"/>
                                  <w:divBdr>
                                    <w:top w:val="none" w:sz="0" w:space="0" w:color="auto"/>
                                    <w:left w:val="none" w:sz="0" w:space="0" w:color="auto"/>
                                    <w:bottom w:val="none" w:sz="0" w:space="0" w:color="auto"/>
                                    <w:right w:val="none" w:sz="0" w:space="0" w:color="auto"/>
                                  </w:divBdr>
                                  <w:divsChild>
                                    <w:div w:id="1740177534">
                                      <w:marLeft w:val="0"/>
                                      <w:marRight w:val="0"/>
                                      <w:marTop w:val="0"/>
                                      <w:marBottom w:val="0"/>
                                      <w:divBdr>
                                        <w:top w:val="none" w:sz="0" w:space="0" w:color="auto"/>
                                        <w:left w:val="none" w:sz="0" w:space="0" w:color="auto"/>
                                        <w:bottom w:val="none" w:sz="0" w:space="0" w:color="auto"/>
                                        <w:right w:val="none" w:sz="0" w:space="0" w:color="auto"/>
                                      </w:divBdr>
                                      <w:divsChild>
                                        <w:div w:id="2022465665">
                                          <w:marLeft w:val="0"/>
                                          <w:marRight w:val="0"/>
                                          <w:marTop w:val="0"/>
                                          <w:marBottom w:val="0"/>
                                          <w:divBdr>
                                            <w:top w:val="none" w:sz="0" w:space="0" w:color="auto"/>
                                            <w:left w:val="none" w:sz="0" w:space="0" w:color="auto"/>
                                            <w:bottom w:val="none" w:sz="0" w:space="0" w:color="auto"/>
                                            <w:right w:val="none" w:sz="0" w:space="0" w:color="auto"/>
                                          </w:divBdr>
                                          <w:divsChild>
                                            <w:div w:id="908267090">
                                              <w:marLeft w:val="0"/>
                                              <w:marRight w:val="0"/>
                                              <w:marTop w:val="0"/>
                                              <w:marBottom w:val="0"/>
                                              <w:divBdr>
                                                <w:top w:val="none" w:sz="0" w:space="0" w:color="auto"/>
                                                <w:left w:val="none" w:sz="0" w:space="0" w:color="auto"/>
                                                <w:bottom w:val="none" w:sz="0" w:space="0" w:color="auto"/>
                                                <w:right w:val="none" w:sz="0" w:space="0" w:color="auto"/>
                                              </w:divBdr>
                                              <w:divsChild>
                                                <w:div w:id="1224027818">
                                                  <w:marLeft w:val="0"/>
                                                  <w:marRight w:val="0"/>
                                                  <w:marTop w:val="0"/>
                                                  <w:marBottom w:val="540"/>
                                                  <w:divBdr>
                                                    <w:top w:val="none" w:sz="0" w:space="0" w:color="auto"/>
                                                    <w:left w:val="none" w:sz="0" w:space="0" w:color="auto"/>
                                                    <w:bottom w:val="none" w:sz="0" w:space="0" w:color="auto"/>
                                                    <w:right w:val="none" w:sz="0" w:space="0" w:color="auto"/>
                                                  </w:divBdr>
                                                  <w:divsChild>
                                                    <w:div w:id="678965764">
                                                      <w:marLeft w:val="0"/>
                                                      <w:marRight w:val="0"/>
                                                      <w:marTop w:val="0"/>
                                                      <w:marBottom w:val="0"/>
                                                      <w:divBdr>
                                                        <w:top w:val="none" w:sz="0" w:space="0" w:color="auto"/>
                                                        <w:left w:val="none" w:sz="0" w:space="0" w:color="auto"/>
                                                        <w:bottom w:val="none" w:sz="0" w:space="0" w:color="auto"/>
                                                        <w:right w:val="none" w:sz="0" w:space="0" w:color="auto"/>
                                                      </w:divBdr>
                                                      <w:divsChild>
                                                        <w:div w:id="1545605479">
                                                          <w:marLeft w:val="0"/>
                                                          <w:marRight w:val="0"/>
                                                          <w:marTop w:val="0"/>
                                                          <w:marBottom w:val="0"/>
                                                          <w:divBdr>
                                                            <w:top w:val="single" w:sz="6" w:space="0" w:color="ABABAB"/>
                                                            <w:left w:val="single" w:sz="6" w:space="0" w:color="ABABAB"/>
                                                            <w:bottom w:val="single" w:sz="6" w:space="0" w:color="ABABAB"/>
                                                            <w:right w:val="single" w:sz="6" w:space="0" w:color="ABABAB"/>
                                                          </w:divBdr>
                                                          <w:divsChild>
                                                            <w:div w:id="1431775691">
                                                              <w:marLeft w:val="0"/>
                                                              <w:marRight w:val="0"/>
                                                              <w:marTop w:val="0"/>
                                                              <w:marBottom w:val="0"/>
                                                              <w:divBdr>
                                                                <w:top w:val="none" w:sz="0" w:space="0" w:color="auto"/>
                                                                <w:left w:val="none" w:sz="0" w:space="0" w:color="auto"/>
                                                                <w:bottom w:val="none" w:sz="0" w:space="0" w:color="auto"/>
                                                                <w:right w:val="none" w:sz="0" w:space="0" w:color="auto"/>
                                                              </w:divBdr>
                                                              <w:divsChild>
                                                                <w:div w:id="75522260">
                                                                  <w:marLeft w:val="0"/>
                                                                  <w:marRight w:val="0"/>
                                                                  <w:marTop w:val="0"/>
                                                                  <w:marBottom w:val="0"/>
                                                                  <w:divBdr>
                                                                    <w:top w:val="none" w:sz="0" w:space="0" w:color="auto"/>
                                                                    <w:left w:val="none" w:sz="0" w:space="0" w:color="auto"/>
                                                                    <w:bottom w:val="none" w:sz="0" w:space="0" w:color="auto"/>
                                                                    <w:right w:val="none" w:sz="0" w:space="0" w:color="auto"/>
                                                                  </w:divBdr>
                                                                  <w:divsChild>
                                                                    <w:div w:id="1575312377">
                                                                      <w:marLeft w:val="0"/>
                                                                      <w:marRight w:val="0"/>
                                                                      <w:marTop w:val="0"/>
                                                                      <w:marBottom w:val="0"/>
                                                                      <w:divBdr>
                                                                        <w:top w:val="none" w:sz="0" w:space="0" w:color="auto"/>
                                                                        <w:left w:val="none" w:sz="0" w:space="0" w:color="auto"/>
                                                                        <w:bottom w:val="none" w:sz="0" w:space="0" w:color="auto"/>
                                                                        <w:right w:val="none" w:sz="0" w:space="0" w:color="auto"/>
                                                                      </w:divBdr>
                                                                      <w:divsChild>
                                                                        <w:div w:id="942222208">
                                                                          <w:marLeft w:val="0"/>
                                                                          <w:marRight w:val="0"/>
                                                                          <w:marTop w:val="0"/>
                                                                          <w:marBottom w:val="0"/>
                                                                          <w:divBdr>
                                                                            <w:top w:val="none" w:sz="0" w:space="0" w:color="auto"/>
                                                                            <w:left w:val="none" w:sz="0" w:space="0" w:color="auto"/>
                                                                            <w:bottom w:val="none" w:sz="0" w:space="0" w:color="auto"/>
                                                                            <w:right w:val="none" w:sz="0" w:space="0" w:color="auto"/>
                                                                          </w:divBdr>
                                                                          <w:divsChild>
                                                                            <w:div w:id="703213556">
                                                                              <w:marLeft w:val="0"/>
                                                                              <w:marRight w:val="0"/>
                                                                              <w:marTop w:val="0"/>
                                                                              <w:marBottom w:val="0"/>
                                                                              <w:divBdr>
                                                                                <w:top w:val="none" w:sz="0" w:space="0" w:color="auto"/>
                                                                                <w:left w:val="none" w:sz="0" w:space="0" w:color="auto"/>
                                                                                <w:bottom w:val="none" w:sz="0" w:space="0" w:color="auto"/>
                                                                                <w:right w:val="none" w:sz="0" w:space="0" w:color="auto"/>
                                                                              </w:divBdr>
                                                                              <w:divsChild>
                                                                                <w:div w:id="97916060">
                                                                                  <w:marLeft w:val="0"/>
                                                                                  <w:marRight w:val="0"/>
                                                                                  <w:marTop w:val="0"/>
                                                                                  <w:marBottom w:val="0"/>
                                                                                  <w:divBdr>
                                                                                    <w:top w:val="none" w:sz="0" w:space="0" w:color="auto"/>
                                                                                    <w:left w:val="none" w:sz="0" w:space="0" w:color="auto"/>
                                                                                    <w:bottom w:val="none" w:sz="0" w:space="0" w:color="auto"/>
                                                                                    <w:right w:val="none" w:sz="0" w:space="0" w:color="auto"/>
                                                                                  </w:divBdr>
                                                                                  <w:divsChild>
                                                                                    <w:div w:id="2100253834">
                                                                                      <w:marLeft w:val="0"/>
                                                                                      <w:marRight w:val="0"/>
                                                                                      <w:marTop w:val="0"/>
                                                                                      <w:marBottom w:val="0"/>
                                                                                      <w:divBdr>
                                                                                        <w:top w:val="none" w:sz="0" w:space="0" w:color="auto"/>
                                                                                        <w:left w:val="none" w:sz="0" w:space="0" w:color="auto"/>
                                                                                        <w:bottom w:val="none" w:sz="0" w:space="0" w:color="auto"/>
                                                                                        <w:right w:val="none" w:sz="0" w:space="0" w:color="auto"/>
                                                                                      </w:divBdr>
                                                                                      <w:divsChild>
                                                                                        <w:div w:id="2034958860">
                                                                                          <w:marLeft w:val="0"/>
                                                                                          <w:marRight w:val="0"/>
                                                                                          <w:marTop w:val="0"/>
                                                                                          <w:marBottom w:val="0"/>
                                                                                          <w:divBdr>
                                                                                            <w:top w:val="none" w:sz="0" w:space="0" w:color="auto"/>
                                                                                            <w:left w:val="none" w:sz="0" w:space="0" w:color="auto"/>
                                                                                            <w:bottom w:val="none" w:sz="0" w:space="0" w:color="auto"/>
                                                                                            <w:right w:val="none" w:sz="0" w:space="0" w:color="auto"/>
                                                                                          </w:divBdr>
                                                                                        </w:div>
                                                                                        <w:div w:id="382758841">
                                                                                          <w:marLeft w:val="0"/>
                                                                                          <w:marRight w:val="0"/>
                                                                                          <w:marTop w:val="0"/>
                                                                                          <w:marBottom w:val="0"/>
                                                                                          <w:divBdr>
                                                                                            <w:top w:val="none" w:sz="0" w:space="0" w:color="auto"/>
                                                                                            <w:left w:val="none" w:sz="0" w:space="0" w:color="auto"/>
                                                                                            <w:bottom w:val="none" w:sz="0" w:space="0" w:color="auto"/>
                                                                                            <w:right w:val="none" w:sz="0" w:space="0" w:color="auto"/>
                                                                                          </w:divBdr>
                                                                                        </w:div>
                                                                                        <w:div w:id="850798361">
                                                                                          <w:marLeft w:val="0"/>
                                                                                          <w:marRight w:val="0"/>
                                                                                          <w:marTop w:val="0"/>
                                                                                          <w:marBottom w:val="0"/>
                                                                                          <w:divBdr>
                                                                                            <w:top w:val="none" w:sz="0" w:space="0" w:color="auto"/>
                                                                                            <w:left w:val="none" w:sz="0" w:space="0" w:color="auto"/>
                                                                                            <w:bottom w:val="none" w:sz="0" w:space="0" w:color="auto"/>
                                                                                            <w:right w:val="none" w:sz="0" w:space="0" w:color="auto"/>
                                                                                          </w:divBdr>
                                                                                        </w:div>
                                                                                        <w:div w:id="2139836134">
                                                                                          <w:marLeft w:val="0"/>
                                                                                          <w:marRight w:val="0"/>
                                                                                          <w:marTop w:val="0"/>
                                                                                          <w:marBottom w:val="0"/>
                                                                                          <w:divBdr>
                                                                                            <w:top w:val="none" w:sz="0" w:space="0" w:color="auto"/>
                                                                                            <w:left w:val="none" w:sz="0" w:space="0" w:color="auto"/>
                                                                                            <w:bottom w:val="none" w:sz="0" w:space="0" w:color="auto"/>
                                                                                            <w:right w:val="none" w:sz="0" w:space="0" w:color="auto"/>
                                                                                          </w:divBdr>
                                                                                        </w:div>
                                                                                      </w:divsChild>
                                                                                    </w:div>
                                                                                    <w:div w:id="637997831">
                                                                                      <w:marLeft w:val="0"/>
                                                                                      <w:marRight w:val="0"/>
                                                                                      <w:marTop w:val="0"/>
                                                                                      <w:marBottom w:val="0"/>
                                                                                      <w:divBdr>
                                                                                        <w:top w:val="none" w:sz="0" w:space="0" w:color="auto"/>
                                                                                        <w:left w:val="none" w:sz="0" w:space="0" w:color="auto"/>
                                                                                        <w:bottom w:val="none" w:sz="0" w:space="0" w:color="auto"/>
                                                                                        <w:right w:val="none" w:sz="0" w:space="0" w:color="auto"/>
                                                                                      </w:divBdr>
                                                                                      <w:divsChild>
                                                                                        <w:div w:id="1651591607">
                                                                                          <w:marLeft w:val="0"/>
                                                                                          <w:marRight w:val="0"/>
                                                                                          <w:marTop w:val="0"/>
                                                                                          <w:marBottom w:val="0"/>
                                                                                          <w:divBdr>
                                                                                            <w:top w:val="none" w:sz="0" w:space="0" w:color="auto"/>
                                                                                            <w:left w:val="none" w:sz="0" w:space="0" w:color="auto"/>
                                                                                            <w:bottom w:val="none" w:sz="0" w:space="0" w:color="auto"/>
                                                                                            <w:right w:val="none" w:sz="0" w:space="0" w:color="auto"/>
                                                                                          </w:divBdr>
                                                                                        </w:div>
                                                                                        <w:div w:id="542644862">
                                                                                          <w:marLeft w:val="0"/>
                                                                                          <w:marRight w:val="0"/>
                                                                                          <w:marTop w:val="0"/>
                                                                                          <w:marBottom w:val="0"/>
                                                                                          <w:divBdr>
                                                                                            <w:top w:val="none" w:sz="0" w:space="0" w:color="auto"/>
                                                                                            <w:left w:val="none" w:sz="0" w:space="0" w:color="auto"/>
                                                                                            <w:bottom w:val="none" w:sz="0" w:space="0" w:color="auto"/>
                                                                                            <w:right w:val="none" w:sz="0" w:space="0" w:color="auto"/>
                                                                                          </w:divBdr>
                                                                                        </w:div>
                                                                                        <w:div w:id="1523861115">
                                                                                          <w:marLeft w:val="0"/>
                                                                                          <w:marRight w:val="0"/>
                                                                                          <w:marTop w:val="0"/>
                                                                                          <w:marBottom w:val="0"/>
                                                                                          <w:divBdr>
                                                                                            <w:top w:val="none" w:sz="0" w:space="0" w:color="auto"/>
                                                                                            <w:left w:val="none" w:sz="0" w:space="0" w:color="auto"/>
                                                                                            <w:bottom w:val="none" w:sz="0" w:space="0" w:color="auto"/>
                                                                                            <w:right w:val="none" w:sz="0" w:space="0" w:color="auto"/>
                                                                                          </w:divBdr>
                                                                                        </w:div>
                                                                                        <w:div w:id="1767267349">
                                                                                          <w:marLeft w:val="0"/>
                                                                                          <w:marRight w:val="0"/>
                                                                                          <w:marTop w:val="0"/>
                                                                                          <w:marBottom w:val="0"/>
                                                                                          <w:divBdr>
                                                                                            <w:top w:val="none" w:sz="0" w:space="0" w:color="auto"/>
                                                                                            <w:left w:val="none" w:sz="0" w:space="0" w:color="auto"/>
                                                                                            <w:bottom w:val="none" w:sz="0" w:space="0" w:color="auto"/>
                                                                                            <w:right w:val="none" w:sz="0" w:space="0" w:color="auto"/>
                                                                                          </w:divBdr>
                                                                                        </w:div>
                                                                                      </w:divsChild>
                                                                                    </w:div>
                                                                                    <w:div w:id="1060909027">
                                                                                      <w:marLeft w:val="0"/>
                                                                                      <w:marRight w:val="0"/>
                                                                                      <w:marTop w:val="0"/>
                                                                                      <w:marBottom w:val="0"/>
                                                                                      <w:divBdr>
                                                                                        <w:top w:val="none" w:sz="0" w:space="0" w:color="auto"/>
                                                                                        <w:left w:val="none" w:sz="0" w:space="0" w:color="auto"/>
                                                                                        <w:bottom w:val="none" w:sz="0" w:space="0" w:color="auto"/>
                                                                                        <w:right w:val="none" w:sz="0" w:space="0" w:color="auto"/>
                                                                                      </w:divBdr>
                                                                                      <w:divsChild>
                                                                                        <w:div w:id="1850833435">
                                                                                          <w:marLeft w:val="0"/>
                                                                                          <w:marRight w:val="0"/>
                                                                                          <w:marTop w:val="0"/>
                                                                                          <w:marBottom w:val="0"/>
                                                                                          <w:divBdr>
                                                                                            <w:top w:val="none" w:sz="0" w:space="0" w:color="auto"/>
                                                                                            <w:left w:val="none" w:sz="0" w:space="0" w:color="auto"/>
                                                                                            <w:bottom w:val="none" w:sz="0" w:space="0" w:color="auto"/>
                                                                                            <w:right w:val="none" w:sz="0" w:space="0" w:color="auto"/>
                                                                                          </w:divBdr>
                                                                                        </w:div>
                                                                                        <w:div w:id="407503140">
                                                                                          <w:marLeft w:val="0"/>
                                                                                          <w:marRight w:val="0"/>
                                                                                          <w:marTop w:val="0"/>
                                                                                          <w:marBottom w:val="0"/>
                                                                                          <w:divBdr>
                                                                                            <w:top w:val="none" w:sz="0" w:space="0" w:color="auto"/>
                                                                                            <w:left w:val="none" w:sz="0" w:space="0" w:color="auto"/>
                                                                                            <w:bottom w:val="none" w:sz="0" w:space="0" w:color="auto"/>
                                                                                            <w:right w:val="none" w:sz="0" w:space="0" w:color="auto"/>
                                                                                          </w:divBdr>
                                                                                        </w:div>
                                                                                        <w:div w:id="981233287">
                                                                                          <w:marLeft w:val="0"/>
                                                                                          <w:marRight w:val="0"/>
                                                                                          <w:marTop w:val="0"/>
                                                                                          <w:marBottom w:val="0"/>
                                                                                          <w:divBdr>
                                                                                            <w:top w:val="none" w:sz="0" w:space="0" w:color="auto"/>
                                                                                            <w:left w:val="none" w:sz="0" w:space="0" w:color="auto"/>
                                                                                            <w:bottom w:val="none" w:sz="0" w:space="0" w:color="auto"/>
                                                                                            <w:right w:val="none" w:sz="0" w:space="0" w:color="auto"/>
                                                                                          </w:divBdr>
                                                                                        </w:div>
                                                                                        <w:div w:id="1737623236">
                                                                                          <w:marLeft w:val="0"/>
                                                                                          <w:marRight w:val="0"/>
                                                                                          <w:marTop w:val="0"/>
                                                                                          <w:marBottom w:val="0"/>
                                                                                          <w:divBdr>
                                                                                            <w:top w:val="none" w:sz="0" w:space="0" w:color="auto"/>
                                                                                            <w:left w:val="none" w:sz="0" w:space="0" w:color="auto"/>
                                                                                            <w:bottom w:val="none" w:sz="0" w:space="0" w:color="auto"/>
                                                                                            <w:right w:val="none" w:sz="0" w:space="0" w:color="auto"/>
                                                                                          </w:divBdr>
                                                                                        </w:div>
                                                                                        <w:div w:id="296762470">
                                                                                          <w:marLeft w:val="0"/>
                                                                                          <w:marRight w:val="0"/>
                                                                                          <w:marTop w:val="0"/>
                                                                                          <w:marBottom w:val="0"/>
                                                                                          <w:divBdr>
                                                                                            <w:top w:val="none" w:sz="0" w:space="0" w:color="auto"/>
                                                                                            <w:left w:val="none" w:sz="0" w:space="0" w:color="auto"/>
                                                                                            <w:bottom w:val="none" w:sz="0" w:space="0" w:color="auto"/>
                                                                                            <w:right w:val="none" w:sz="0" w:space="0" w:color="auto"/>
                                                                                          </w:divBdr>
                                                                                        </w:div>
                                                                                      </w:divsChild>
                                                                                    </w:div>
                                                                                    <w:div w:id="1632246085">
                                                                                      <w:marLeft w:val="0"/>
                                                                                      <w:marRight w:val="0"/>
                                                                                      <w:marTop w:val="0"/>
                                                                                      <w:marBottom w:val="0"/>
                                                                                      <w:divBdr>
                                                                                        <w:top w:val="none" w:sz="0" w:space="0" w:color="auto"/>
                                                                                        <w:left w:val="none" w:sz="0" w:space="0" w:color="auto"/>
                                                                                        <w:bottom w:val="none" w:sz="0" w:space="0" w:color="auto"/>
                                                                                        <w:right w:val="none" w:sz="0" w:space="0" w:color="auto"/>
                                                                                      </w:divBdr>
                                                                                      <w:divsChild>
                                                                                        <w:div w:id="48116339">
                                                                                          <w:marLeft w:val="0"/>
                                                                                          <w:marRight w:val="0"/>
                                                                                          <w:marTop w:val="0"/>
                                                                                          <w:marBottom w:val="0"/>
                                                                                          <w:divBdr>
                                                                                            <w:top w:val="none" w:sz="0" w:space="0" w:color="auto"/>
                                                                                            <w:left w:val="none" w:sz="0" w:space="0" w:color="auto"/>
                                                                                            <w:bottom w:val="none" w:sz="0" w:space="0" w:color="auto"/>
                                                                                            <w:right w:val="none" w:sz="0" w:space="0" w:color="auto"/>
                                                                                          </w:divBdr>
                                                                                        </w:div>
                                                                                        <w:div w:id="61492123">
                                                                                          <w:marLeft w:val="0"/>
                                                                                          <w:marRight w:val="0"/>
                                                                                          <w:marTop w:val="0"/>
                                                                                          <w:marBottom w:val="0"/>
                                                                                          <w:divBdr>
                                                                                            <w:top w:val="none" w:sz="0" w:space="0" w:color="auto"/>
                                                                                            <w:left w:val="none" w:sz="0" w:space="0" w:color="auto"/>
                                                                                            <w:bottom w:val="none" w:sz="0" w:space="0" w:color="auto"/>
                                                                                            <w:right w:val="none" w:sz="0" w:space="0" w:color="auto"/>
                                                                                          </w:divBdr>
                                                                                        </w:div>
                                                                                        <w:div w:id="389574107">
                                                                                          <w:marLeft w:val="0"/>
                                                                                          <w:marRight w:val="0"/>
                                                                                          <w:marTop w:val="0"/>
                                                                                          <w:marBottom w:val="0"/>
                                                                                          <w:divBdr>
                                                                                            <w:top w:val="none" w:sz="0" w:space="0" w:color="auto"/>
                                                                                            <w:left w:val="none" w:sz="0" w:space="0" w:color="auto"/>
                                                                                            <w:bottom w:val="none" w:sz="0" w:space="0" w:color="auto"/>
                                                                                            <w:right w:val="none" w:sz="0" w:space="0" w:color="auto"/>
                                                                                          </w:divBdr>
                                                                                        </w:div>
                                                                                        <w:div w:id="131875708">
                                                                                          <w:marLeft w:val="0"/>
                                                                                          <w:marRight w:val="0"/>
                                                                                          <w:marTop w:val="0"/>
                                                                                          <w:marBottom w:val="0"/>
                                                                                          <w:divBdr>
                                                                                            <w:top w:val="none" w:sz="0" w:space="0" w:color="auto"/>
                                                                                            <w:left w:val="none" w:sz="0" w:space="0" w:color="auto"/>
                                                                                            <w:bottom w:val="none" w:sz="0" w:space="0" w:color="auto"/>
                                                                                            <w:right w:val="none" w:sz="0" w:space="0" w:color="auto"/>
                                                                                          </w:divBdr>
                                                                                        </w:div>
                                                                                        <w:div w:id="281346477">
                                                                                          <w:marLeft w:val="0"/>
                                                                                          <w:marRight w:val="0"/>
                                                                                          <w:marTop w:val="0"/>
                                                                                          <w:marBottom w:val="0"/>
                                                                                          <w:divBdr>
                                                                                            <w:top w:val="none" w:sz="0" w:space="0" w:color="auto"/>
                                                                                            <w:left w:val="none" w:sz="0" w:space="0" w:color="auto"/>
                                                                                            <w:bottom w:val="none" w:sz="0" w:space="0" w:color="auto"/>
                                                                                            <w:right w:val="none" w:sz="0" w:space="0" w:color="auto"/>
                                                                                          </w:divBdr>
                                                                                        </w:div>
                                                                                      </w:divsChild>
                                                                                    </w:div>
                                                                                    <w:div w:id="1752578064">
                                                                                      <w:marLeft w:val="0"/>
                                                                                      <w:marRight w:val="0"/>
                                                                                      <w:marTop w:val="0"/>
                                                                                      <w:marBottom w:val="0"/>
                                                                                      <w:divBdr>
                                                                                        <w:top w:val="none" w:sz="0" w:space="0" w:color="auto"/>
                                                                                        <w:left w:val="none" w:sz="0" w:space="0" w:color="auto"/>
                                                                                        <w:bottom w:val="none" w:sz="0" w:space="0" w:color="auto"/>
                                                                                        <w:right w:val="none" w:sz="0" w:space="0" w:color="auto"/>
                                                                                      </w:divBdr>
                                                                                      <w:divsChild>
                                                                                        <w:div w:id="56897447">
                                                                                          <w:marLeft w:val="0"/>
                                                                                          <w:marRight w:val="0"/>
                                                                                          <w:marTop w:val="0"/>
                                                                                          <w:marBottom w:val="0"/>
                                                                                          <w:divBdr>
                                                                                            <w:top w:val="none" w:sz="0" w:space="0" w:color="auto"/>
                                                                                            <w:left w:val="none" w:sz="0" w:space="0" w:color="auto"/>
                                                                                            <w:bottom w:val="none" w:sz="0" w:space="0" w:color="auto"/>
                                                                                            <w:right w:val="none" w:sz="0" w:space="0" w:color="auto"/>
                                                                                          </w:divBdr>
                                                                                        </w:div>
                                                                                        <w:div w:id="2140949390">
                                                                                          <w:marLeft w:val="0"/>
                                                                                          <w:marRight w:val="0"/>
                                                                                          <w:marTop w:val="0"/>
                                                                                          <w:marBottom w:val="0"/>
                                                                                          <w:divBdr>
                                                                                            <w:top w:val="none" w:sz="0" w:space="0" w:color="auto"/>
                                                                                            <w:left w:val="none" w:sz="0" w:space="0" w:color="auto"/>
                                                                                            <w:bottom w:val="none" w:sz="0" w:space="0" w:color="auto"/>
                                                                                            <w:right w:val="none" w:sz="0" w:space="0" w:color="auto"/>
                                                                                          </w:divBdr>
                                                                                        </w:div>
                                                                                        <w:div w:id="940913483">
                                                                                          <w:marLeft w:val="0"/>
                                                                                          <w:marRight w:val="0"/>
                                                                                          <w:marTop w:val="0"/>
                                                                                          <w:marBottom w:val="0"/>
                                                                                          <w:divBdr>
                                                                                            <w:top w:val="none" w:sz="0" w:space="0" w:color="auto"/>
                                                                                            <w:left w:val="none" w:sz="0" w:space="0" w:color="auto"/>
                                                                                            <w:bottom w:val="none" w:sz="0" w:space="0" w:color="auto"/>
                                                                                            <w:right w:val="none" w:sz="0" w:space="0" w:color="auto"/>
                                                                                          </w:divBdr>
                                                                                        </w:div>
                                                                                      </w:divsChild>
                                                                                    </w:div>
                                                                                    <w:div w:id="718669106">
                                                                                      <w:marLeft w:val="0"/>
                                                                                      <w:marRight w:val="0"/>
                                                                                      <w:marTop w:val="0"/>
                                                                                      <w:marBottom w:val="0"/>
                                                                                      <w:divBdr>
                                                                                        <w:top w:val="none" w:sz="0" w:space="0" w:color="auto"/>
                                                                                        <w:left w:val="none" w:sz="0" w:space="0" w:color="auto"/>
                                                                                        <w:bottom w:val="none" w:sz="0" w:space="0" w:color="auto"/>
                                                                                        <w:right w:val="none" w:sz="0" w:space="0" w:color="auto"/>
                                                                                      </w:divBdr>
                                                                                      <w:divsChild>
                                                                                        <w:div w:id="1035304050">
                                                                                          <w:marLeft w:val="0"/>
                                                                                          <w:marRight w:val="0"/>
                                                                                          <w:marTop w:val="0"/>
                                                                                          <w:marBottom w:val="0"/>
                                                                                          <w:divBdr>
                                                                                            <w:top w:val="none" w:sz="0" w:space="0" w:color="auto"/>
                                                                                            <w:left w:val="none" w:sz="0" w:space="0" w:color="auto"/>
                                                                                            <w:bottom w:val="none" w:sz="0" w:space="0" w:color="auto"/>
                                                                                            <w:right w:val="none" w:sz="0" w:space="0" w:color="auto"/>
                                                                                          </w:divBdr>
                                                                                        </w:div>
                                                                                        <w:div w:id="979460410">
                                                                                          <w:marLeft w:val="0"/>
                                                                                          <w:marRight w:val="0"/>
                                                                                          <w:marTop w:val="0"/>
                                                                                          <w:marBottom w:val="0"/>
                                                                                          <w:divBdr>
                                                                                            <w:top w:val="none" w:sz="0" w:space="0" w:color="auto"/>
                                                                                            <w:left w:val="none" w:sz="0" w:space="0" w:color="auto"/>
                                                                                            <w:bottom w:val="none" w:sz="0" w:space="0" w:color="auto"/>
                                                                                            <w:right w:val="none" w:sz="0" w:space="0" w:color="auto"/>
                                                                                          </w:divBdr>
                                                                                        </w:div>
                                                                                        <w:div w:id="412897656">
                                                                                          <w:marLeft w:val="0"/>
                                                                                          <w:marRight w:val="0"/>
                                                                                          <w:marTop w:val="0"/>
                                                                                          <w:marBottom w:val="0"/>
                                                                                          <w:divBdr>
                                                                                            <w:top w:val="none" w:sz="0" w:space="0" w:color="auto"/>
                                                                                            <w:left w:val="none" w:sz="0" w:space="0" w:color="auto"/>
                                                                                            <w:bottom w:val="none" w:sz="0" w:space="0" w:color="auto"/>
                                                                                            <w:right w:val="none" w:sz="0" w:space="0" w:color="auto"/>
                                                                                          </w:divBdr>
                                                                                        </w:div>
                                                                                        <w:div w:id="1808163638">
                                                                                          <w:marLeft w:val="0"/>
                                                                                          <w:marRight w:val="0"/>
                                                                                          <w:marTop w:val="0"/>
                                                                                          <w:marBottom w:val="0"/>
                                                                                          <w:divBdr>
                                                                                            <w:top w:val="none" w:sz="0" w:space="0" w:color="auto"/>
                                                                                            <w:left w:val="none" w:sz="0" w:space="0" w:color="auto"/>
                                                                                            <w:bottom w:val="none" w:sz="0" w:space="0" w:color="auto"/>
                                                                                            <w:right w:val="none" w:sz="0" w:space="0" w:color="auto"/>
                                                                                          </w:divBdr>
                                                                                        </w:div>
                                                                                      </w:divsChild>
                                                                                    </w:div>
                                                                                    <w:div w:id="1778212004">
                                                                                      <w:marLeft w:val="0"/>
                                                                                      <w:marRight w:val="0"/>
                                                                                      <w:marTop w:val="0"/>
                                                                                      <w:marBottom w:val="0"/>
                                                                                      <w:divBdr>
                                                                                        <w:top w:val="none" w:sz="0" w:space="0" w:color="auto"/>
                                                                                        <w:left w:val="none" w:sz="0" w:space="0" w:color="auto"/>
                                                                                        <w:bottom w:val="none" w:sz="0" w:space="0" w:color="auto"/>
                                                                                        <w:right w:val="none" w:sz="0" w:space="0" w:color="auto"/>
                                                                                      </w:divBdr>
                                                                                      <w:divsChild>
                                                                                        <w:div w:id="2065643204">
                                                                                          <w:marLeft w:val="0"/>
                                                                                          <w:marRight w:val="0"/>
                                                                                          <w:marTop w:val="0"/>
                                                                                          <w:marBottom w:val="0"/>
                                                                                          <w:divBdr>
                                                                                            <w:top w:val="none" w:sz="0" w:space="0" w:color="auto"/>
                                                                                            <w:left w:val="none" w:sz="0" w:space="0" w:color="auto"/>
                                                                                            <w:bottom w:val="none" w:sz="0" w:space="0" w:color="auto"/>
                                                                                            <w:right w:val="none" w:sz="0" w:space="0" w:color="auto"/>
                                                                                          </w:divBdr>
                                                                                        </w:div>
                                                                                        <w:div w:id="1158114528">
                                                                                          <w:marLeft w:val="0"/>
                                                                                          <w:marRight w:val="0"/>
                                                                                          <w:marTop w:val="0"/>
                                                                                          <w:marBottom w:val="0"/>
                                                                                          <w:divBdr>
                                                                                            <w:top w:val="none" w:sz="0" w:space="0" w:color="auto"/>
                                                                                            <w:left w:val="none" w:sz="0" w:space="0" w:color="auto"/>
                                                                                            <w:bottom w:val="none" w:sz="0" w:space="0" w:color="auto"/>
                                                                                            <w:right w:val="none" w:sz="0" w:space="0" w:color="auto"/>
                                                                                          </w:divBdr>
                                                                                        </w:div>
                                                                                      </w:divsChild>
                                                                                    </w:div>
                                                                                    <w:div w:id="1308586886">
                                                                                      <w:marLeft w:val="0"/>
                                                                                      <w:marRight w:val="0"/>
                                                                                      <w:marTop w:val="0"/>
                                                                                      <w:marBottom w:val="0"/>
                                                                                      <w:divBdr>
                                                                                        <w:top w:val="none" w:sz="0" w:space="0" w:color="auto"/>
                                                                                        <w:left w:val="none" w:sz="0" w:space="0" w:color="auto"/>
                                                                                        <w:bottom w:val="none" w:sz="0" w:space="0" w:color="auto"/>
                                                                                        <w:right w:val="none" w:sz="0" w:space="0" w:color="auto"/>
                                                                                      </w:divBdr>
                                                                                      <w:divsChild>
                                                                                        <w:div w:id="1692683750">
                                                                                          <w:marLeft w:val="0"/>
                                                                                          <w:marRight w:val="0"/>
                                                                                          <w:marTop w:val="0"/>
                                                                                          <w:marBottom w:val="0"/>
                                                                                          <w:divBdr>
                                                                                            <w:top w:val="none" w:sz="0" w:space="0" w:color="auto"/>
                                                                                            <w:left w:val="none" w:sz="0" w:space="0" w:color="auto"/>
                                                                                            <w:bottom w:val="none" w:sz="0" w:space="0" w:color="auto"/>
                                                                                            <w:right w:val="none" w:sz="0" w:space="0" w:color="auto"/>
                                                                                          </w:divBdr>
                                                                                        </w:div>
                                                                                        <w:div w:id="1671829451">
                                                                                          <w:marLeft w:val="0"/>
                                                                                          <w:marRight w:val="0"/>
                                                                                          <w:marTop w:val="0"/>
                                                                                          <w:marBottom w:val="0"/>
                                                                                          <w:divBdr>
                                                                                            <w:top w:val="none" w:sz="0" w:space="0" w:color="auto"/>
                                                                                            <w:left w:val="none" w:sz="0" w:space="0" w:color="auto"/>
                                                                                            <w:bottom w:val="none" w:sz="0" w:space="0" w:color="auto"/>
                                                                                            <w:right w:val="none" w:sz="0" w:space="0" w:color="auto"/>
                                                                                          </w:divBdr>
                                                                                        </w:div>
                                                                                      </w:divsChild>
                                                                                    </w:div>
                                                                                    <w:div w:id="1851984981">
                                                                                      <w:marLeft w:val="0"/>
                                                                                      <w:marRight w:val="0"/>
                                                                                      <w:marTop w:val="0"/>
                                                                                      <w:marBottom w:val="0"/>
                                                                                      <w:divBdr>
                                                                                        <w:top w:val="none" w:sz="0" w:space="0" w:color="auto"/>
                                                                                        <w:left w:val="none" w:sz="0" w:space="0" w:color="auto"/>
                                                                                        <w:bottom w:val="none" w:sz="0" w:space="0" w:color="auto"/>
                                                                                        <w:right w:val="none" w:sz="0" w:space="0" w:color="auto"/>
                                                                                      </w:divBdr>
                                                                                      <w:divsChild>
                                                                                        <w:div w:id="1196502278">
                                                                                          <w:marLeft w:val="0"/>
                                                                                          <w:marRight w:val="0"/>
                                                                                          <w:marTop w:val="0"/>
                                                                                          <w:marBottom w:val="0"/>
                                                                                          <w:divBdr>
                                                                                            <w:top w:val="none" w:sz="0" w:space="0" w:color="auto"/>
                                                                                            <w:left w:val="none" w:sz="0" w:space="0" w:color="auto"/>
                                                                                            <w:bottom w:val="none" w:sz="0" w:space="0" w:color="auto"/>
                                                                                            <w:right w:val="none" w:sz="0" w:space="0" w:color="auto"/>
                                                                                          </w:divBdr>
                                                                                        </w:div>
                                                                                        <w:div w:id="1461876592">
                                                                                          <w:marLeft w:val="0"/>
                                                                                          <w:marRight w:val="0"/>
                                                                                          <w:marTop w:val="0"/>
                                                                                          <w:marBottom w:val="0"/>
                                                                                          <w:divBdr>
                                                                                            <w:top w:val="none" w:sz="0" w:space="0" w:color="auto"/>
                                                                                            <w:left w:val="none" w:sz="0" w:space="0" w:color="auto"/>
                                                                                            <w:bottom w:val="none" w:sz="0" w:space="0" w:color="auto"/>
                                                                                            <w:right w:val="none" w:sz="0" w:space="0" w:color="auto"/>
                                                                                          </w:divBdr>
                                                                                        </w:div>
                                                                                        <w:div w:id="825168603">
                                                                                          <w:marLeft w:val="0"/>
                                                                                          <w:marRight w:val="0"/>
                                                                                          <w:marTop w:val="0"/>
                                                                                          <w:marBottom w:val="0"/>
                                                                                          <w:divBdr>
                                                                                            <w:top w:val="none" w:sz="0" w:space="0" w:color="auto"/>
                                                                                            <w:left w:val="none" w:sz="0" w:space="0" w:color="auto"/>
                                                                                            <w:bottom w:val="none" w:sz="0" w:space="0" w:color="auto"/>
                                                                                            <w:right w:val="none" w:sz="0" w:space="0" w:color="auto"/>
                                                                                          </w:divBdr>
                                                                                        </w:div>
                                                                                      </w:divsChild>
                                                                                    </w:div>
                                                                                    <w:div w:id="765660297">
                                                                                      <w:marLeft w:val="0"/>
                                                                                      <w:marRight w:val="0"/>
                                                                                      <w:marTop w:val="0"/>
                                                                                      <w:marBottom w:val="0"/>
                                                                                      <w:divBdr>
                                                                                        <w:top w:val="none" w:sz="0" w:space="0" w:color="auto"/>
                                                                                        <w:left w:val="none" w:sz="0" w:space="0" w:color="auto"/>
                                                                                        <w:bottom w:val="none" w:sz="0" w:space="0" w:color="auto"/>
                                                                                        <w:right w:val="none" w:sz="0" w:space="0" w:color="auto"/>
                                                                                      </w:divBdr>
                                                                                      <w:divsChild>
                                                                                        <w:div w:id="1028987376">
                                                                                          <w:marLeft w:val="0"/>
                                                                                          <w:marRight w:val="0"/>
                                                                                          <w:marTop w:val="0"/>
                                                                                          <w:marBottom w:val="0"/>
                                                                                          <w:divBdr>
                                                                                            <w:top w:val="none" w:sz="0" w:space="0" w:color="auto"/>
                                                                                            <w:left w:val="none" w:sz="0" w:space="0" w:color="auto"/>
                                                                                            <w:bottom w:val="none" w:sz="0" w:space="0" w:color="auto"/>
                                                                                            <w:right w:val="none" w:sz="0" w:space="0" w:color="auto"/>
                                                                                          </w:divBdr>
                                                                                        </w:div>
                                                                                      </w:divsChild>
                                                                                    </w:div>
                                                                                    <w:div w:id="1349022966">
                                                                                      <w:marLeft w:val="0"/>
                                                                                      <w:marRight w:val="0"/>
                                                                                      <w:marTop w:val="0"/>
                                                                                      <w:marBottom w:val="0"/>
                                                                                      <w:divBdr>
                                                                                        <w:top w:val="none" w:sz="0" w:space="0" w:color="auto"/>
                                                                                        <w:left w:val="none" w:sz="0" w:space="0" w:color="auto"/>
                                                                                        <w:bottom w:val="none" w:sz="0" w:space="0" w:color="auto"/>
                                                                                        <w:right w:val="none" w:sz="0" w:space="0" w:color="auto"/>
                                                                                      </w:divBdr>
                                                                                      <w:divsChild>
                                                                                        <w:div w:id="352730360">
                                                                                          <w:marLeft w:val="0"/>
                                                                                          <w:marRight w:val="0"/>
                                                                                          <w:marTop w:val="0"/>
                                                                                          <w:marBottom w:val="0"/>
                                                                                          <w:divBdr>
                                                                                            <w:top w:val="none" w:sz="0" w:space="0" w:color="auto"/>
                                                                                            <w:left w:val="none" w:sz="0" w:space="0" w:color="auto"/>
                                                                                            <w:bottom w:val="none" w:sz="0" w:space="0" w:color="auto"/>
                                                                                            <w:right w:val="none" w:sz="0" w:space="0" w:color="auto"/>
                                                                                          </w:divBdr>
                                                                                        </w:div>
                                                                                        <w:div w:id="25641364">
                                                                                          <w:marLeft w:val="0"/>
                                                                                          <w:marRight w:val="0"/>
                                                                                          <w:marTop w:val="0"/>
                                                                                          <w:marBottom w:val="0"/>
                                                                                          <w:divBdr>
                                                                                            <w:top w:val="none" w:sz="0" w:space="0" w:color="auto"/>
                                                                                            <w:left w:val="none" w:sz="0" w:space="0" w:color="auto"/>
                                                                                            <w:bottom w:val="none" w:sz="0" w:space="0" w:color="auto"/>
                                                                                            <w:right w:val="none" w:sz="0" w:space="0" w:color="auto"/>
                                                                                          </w:divBdr>
                                                                                        </w:div>
                                                                                        <w:div w:id="1460688584">
                                                                                          <w:marLeft w:val="0"/>
                                                                                          <w:marRight w:val="0"/>
                                                                                          <w:marTop w:val="0"/>
                                                                                          <w:marBottom w:val="0"/>
                                                                                          <w:divBdr>
                                                                                            <w:top w:val="none" w:sz="0" w:space="0" w:color="auto"/>
                                                                                            <w:left w:val="none" w:sz="0" w:space="0" w:color="auto"/>
                                                                                            <w:bottom w:val="none" w:sz="0" w:space="0" w:color="auto"/>
                                                                                            <w:right w:val="none" w:sz="0" w:space="0" w:color="auto"/>
                                                                                          </w:divBdr>
                                                                                        </w:div>
                                                                                      </w:divsChild>
                                                                                    </w:div>
                                                                                    <w:div w:id="1777946572">
                                                                                      <w:marLeft w:val="0"/>
                                                                                      <w:marRight w:val="0"/>
                                                                                      <w:marTop w:val="0"/>
                                                                                      <w:marBottom w:val="0"/>
                                                                                      <w:divBdr>
                                                                                        <w:top w:val="none" w:sz="0" w:space="0" w:color="auto"/>
                                                                                        <w:left w:val="none" w:sz="0" w:space="0" w:color="auto"/>
                                                                                        <w:bottom w:val="none" w:sz="0" w:space="0" w:color="auto"/>
                                                                                        <w:right w:val="none" w:sz="0" w:space="0" w:color="auto"/>
                                                                                      </w:divBdr>
                                                                                      <w:divsChild>
                                                                                        <w:div w:id="540440534">
                                                                                          <w:marLeft w:val="0"/>
                                                                                          <w:marRight w:val="0"/>
                                                                                          <w:marTop w:val="0"/>
                                                                                          <w:marBottom w:val="0"/>
                                                                                          <w:divBdr>
                                                                                            <w:top w:val="none" w:sz="0" w:space="0" w:color="auto"/>
                                                                                            <w:left w:val="none" w:sz="0" w:space="0" w:color="auto"/>
                                                                                            <w:bottom w:val="none" w:sz="0" w:space="0" w:color="auto"/>
                                                                                            <w:right w:val="none" w:sz="0" w:space="0" w:color="auto"/>
                                                                                          </w:divBdr>
                                                                                        </w:div>
                                                                                        <w:div w:id="116140869">
                                                                                          <w:marLeft w:val="0"/>
                                                                                          <w:marRight w:val="0"/>
                                                                                          <w:marTop w:val="0"/>
                                                                                          <w:marBottom w:val="0"/>
                                                                                          <w:divBdr>
                                                                                            <w:top w:val="none" w:sz="0" w:space="0" w:color="auto"/>
                                                                                            <w:left w:val="none" w:sz="0" w:space="0" w:color="auto"/>
                                                                                            <w:bottom w:val="none" w:sz="0" w:space="0" w:color="auto"/>
                                                                                            <w:right w:val="none" w:sz="0" w:space="0" w:color="auto"/>
                                                                                          </w:divBdr>
                                                                                        </w:div>
                                                                                        <w:div w:id="499127313">
                                                                                          <w:marLeft w:val="0"/>
                                                                                          <w:marRight w:val="0"/>
                                                                                          <w:marTop w:val="0"/>
                                                                                          <w:marBottom w:val="0"/>
                                                                                          <w:divBdr>
                                                                                            <w:top w:val="none" w:sz="0" w:space="0" w:color="auto"/>
                                                                                            <w:left w:val="none" w:sz="0" w:space="0" w:color="auto"/>
                                                                                            <w:bottom w:val="none" w:sz="0" w:space="0" w:color="auto"/>
                                                                                            <w:right w:val="none" w:sz="0" w:space="0" w:color="auto"/>
                                                                                          </w:divBdr>
                                                                                        </w:div>
                                                                                      </w:divsChild>
                                                                                    </w:div>
                                                                                    <w:div w:id="547188843">
                                                                                      <w:marLeft w:val="0"/>
                                                                                      <w:marRight w:val="0"/>
                                                                                      <w:marTop w:val="0"/>
                                                                                      <w:marBottom w:val="0"/>
                                                                                      <w:divBdr>
                                                                                        <w:top w:val="none" w:sz="0" w:space="0" w:color="auto"/>
                                                                                        <w:left w:val="none" w:sz="0" w:space="0" w:color="auto"/>
                                                                                        <w:bottom w:val="none" w:sz="0" w:space="0" w:color="auto"/>
                                                                                        <w:right w:val="none" w:sz="0" w:space="0" w:color="auto"/>
                                                                                      </w:divBdr>
                                                                                      <w:divsChild>
                                                                                        <w:div w:id="1410469433">
                                                                                          <w:marLeft w:val="0"/>
                                                                                          <w:marRight w:val="0"/>
                                                                                          <w:marTop w:val="0"/>
                                                                                          <w:marBottom w:val="0"/>
                                                                                          <w:divBdr>
                                                                                            <w:top w:val="none" w:sz="0" w:space="0" w:color="auto"/>
                                                                                            <w:left w:val="none" w:sz="0" w:space="0" w:color="auto"/>
                                                                                            <w:bottom w:val="none" w:sz="0" w:space="0" w:color="auto"/>
                                                                                            <w:right w:val="none" w:sz="0" w:space="0" w:color="auto"/>
                                                                                          </w:divBdr>
                                                                                        </w:div>
                                                                                        <w:div w:id="658575993">
                                                                                          <w:marLeft w:val="0"/>
                                                                                          <w:marRight w:val="0"/>
                                                                                          <w:marTop w:val="0"/>
                                                                                          <w:marBottom w:val="0"/>
                                                                                          <w:divBdr>
                                                                                            <w:top w:val="none" w:sz="0" w:space="0" w:color="auto"/>
                                                                                            <w:left w:val="none" w:sz="0" w:space="0" w:color="auto"/>
                                                                                            <w:bottom w:val="none" w:sz="0" w:space="0" w:color="auto"/>
                                                                                            <w:right w:val="none" w:sz="0" w:space="0" w:color="auto"/>
                                                                                          </w:divBdr>
                                                                                        </w:div>
                                                                                        <w:div w:id="1326477263">
                                                                                          <w:marLeft w:val="0"/>
                                                                                          <w:marRight w:val="0"/>
                                                                                          <w:marTop w:val="0"/>
                                                                                          <w:marBottom w:val="0"/>
                                                                                          <w:divBdr>
                                                                                            <w:top w:val="none" w:sz="0" w:space="0" w:color="auto"/>
                                                                                            <w:left w:val="none" w:sz="0" w:space="0" w:color="auto"/>
                                                                                            <w:bottom w:val="none" w:sz="0" w:space="0" w:color="auto"/>
                                                                                            <w:right w:val="none" w:sz="0" w:space="0" w:color="auto"/>
                                                                                          </w:divBdr>
                                                                                        </w:div>
                                                                                        <w:div w:id="2069037605">
                                                                                          <w:marLeft w:val="0"/>
                                                                                          <w:marRight w:val="0"/>
                                                                                          <w:marTop w:val="0"/>
                                                                                          <w:marBottom w:val="0"/>
                                                                                          <w:divBdr>
                                                                                            <w:top w:val="none" w:sz="0" w:space="0" w:color="auto"/>
                                                                                            <w:left w:val="none" w:sz="0" w:space="0" w:color="auto"/>
                                                                                            <w:bottom w:val="none" w:sz="0" w:space="0" w:color="auto"/>
                                                                                            <w:right w:val="none" w:sz="0" w:space="0" w:color="auto"/>
                                                                                          </w:divBdr>
                                                                                        </w:div>
                                                                                        <w:div w:id="1051806943">
                                                                                          <w:marLeft w:val="0"/>
                                                                                          <w:marRight w:val="0"/>
                                                                                          <w:marTop w:val="0"/>
                                                                                          <w:marBottom w:val="0"/>
                                                                                          <w:divBdr>
                                                                                            <w:top w:val="none" w:sz="0" w:space="0" w:color="auto"/>
                                                                                            <w:left w:val="none" w:sz="0" w:space="0" w:color="auto"/>
                                                                                            <w:bottom w:val="none" w:sz="0" w:space="0" w:color="auto"/>
                                                                                            <w:right w:val="none" w:sz="0" w:space="0" w:color="auto"/>
                                                                                          </w:divBdr>
                                                                                        </w:div>
                                                                                      </w:divsChild>
                                                                                    </w:div>
                                                                                    <w:div w:id="1035613762">
                                                                                      <w:marLeft w:val="0"/>
                                                                                      <w:marRight w:val="0"/>
                                                                                      <w:marTop w:val="0"/>
                                                                                      <w:marBottom w:val="0"/>
                                                                                      <w:divBdr>
                                                                                        <w:top w:val="none" w:sz="0" w:space="0" w:color="auto"/>
                                                                                        <w:left w:val="none" w:sz="0" w:space="0" w:color="auto"/>
                                                                                        <w:bottom w:val="none" w:sz="0" w:space="0" w:color="auto"/>
                                                                                        <w:right w:val="none" w:sz="0" w:space="0" w:color="auto"/>
                                                                                      </w:divBdr>
                                                                                      <w:divsChild>
                                                                                        <w:div w:id="2111464570">
                                                                                          <w:marLeft w:val="0"/>
                                                                                          <w:marRight w:val="0"/>
                                                                                          <w:marTop w:val="0"/>
                                                                                          <w:marBottom w:val="0"/>
                                                                                          <w:divBdr>
                                                                                            <w:top w:val="none" w:sz="0" w:space="0" w:color="auto"/>
                                                                                            <w:left w:val="none" w:sz="0" w:space="0" w:color="auto"/>
                                                                                            <w:bottom w:val="none" w:sz="0" w:space="0" w:color="auto"/>
                                                                                            <w:right w:val="none" w:sz="0" w:space="0" w:color="auto"/>
                                                                                          </w:divBdr>
                                                                                        </w:div>
                                                                                        <w:div w:id="1410031442">
                                                                                          <w:marLeft w:val="0"/>
                                                                                          <w:marRight w:val="0"/>
                                                                                          <w:marTop w:val="0"/>
                                                                                          <w:marBottom w:val="0"/>
                                                                                          <w:divBdr>
                                                                                            <w:top w:val="none" w:sz="0" w:space="0" w:color="auto"/>
                                                                                            <w:left w:val="none" w:sz="0" w:space="0" w:color="auto"/>
                                                                                            <w:bottom w:val="none" w:sz="0" w:space="0" w:color="auto"/>
                                                                                            <w:right w:val="none" w:sz="0" w:space="0" w:color="auto"/>
                                                                                          </w:divBdr>
                                                                                        </w:div>
                                                                                        <w:div w:id="2144418491">
                                                                                          <w:marLeft w:val="0"/>
                                                                                          <w:marRight w:val="0"/>
                                                                                          <w:marTop w:val="0"/>
                                                                                          <w:marBottom w:val="0"/>
                                                                                          <w:divBdr>
                                                                                            <w:top w:val="none" w:sz="0" w:space="0" w:color="auto"/>
                                                                                            <w:left w:val="none" w:sz="0" w:space="0" w:color="auto"/>
                                                                                            <w:bottom w:val="none" w:sz="0" w:space="0" w:color="auto"/>
                                                                                            <w:right w:val="none" w:sz="0" w:space="0" w:color="auto"/>
                                                                                          </w:divBdr>
                                                                                        </w:div>
                                                                                      </w:divsChild>
                                                                                    </w:div>
                                                                                    <w:div w:id="1002318624">
                                                                                      <w:marLeft w:val="0"/>
                                                                                      <w:marRight w:val="0"/>
                                                                                      <w:marTop w:val="0"/>
                                                                                      <w:marBottom w:val="0"/>
                                                                                      <w:divBdr>
                                                                                        <w:top w:val="none" w:sz="0" w:space="0" w:color="auto"/>
                                                                                        <w:left w:val="none" w:sz="0" w:space="0" w:color="auto"/>
                                                                                        <w:bottom w:val="none" w:sz="0" w:space="0" w:color="auto"/>
                                                                                        <w:right w:val="none" w:sz="0" w:space="0" w:color="auto"/>
                                                                                      </w:divBdr>
                                                                                      <w:divsChild>
                                                                                        <w:div w:id="1000278502">
                                                                                          <w:marLeft w:val="0"/>
                                                                                          <w:marRight w:val="0"/>
                                                                                          <w:marTop w:val="0"/>
                                                                                          <w:marBottom w:val="0"/>
                                                                                          <w:divBdr>
                                                                                            <w:top w:val="none" w:sz="0" w:space="0" w:color="auto"/>
                                                                                            <w:left w:val="none" w:sz="0" w:space="0" w:color="auto"/>
                                                                                            <w:bottom w:val="none" w:sz="0" w:space="0" w:color="auto"/>
                                                                                            <w:right w:val="none" w:sz="0" w:space="0" w:color="auto"/>
                                                                                          </w:divBdr>
                                                                                        </w:div>
                                                                                        <w:div w:id="1499884516">
                                                                                          <w:marLeft w:val="0"/>
                                                                                          <w:marRight w:val="0"/>
                                                                                          <w:marTop w:val="0"/>
                                                                                          <w:marBottom w:val="0"/>
                                                                                          <w:divBdr>
                                                                                            <w:top w:val="none" w:sz="0" w:space="0" w:color="auto"/>
                                                                                            <w:left w:val="none" w:sz="0" w:space="0" w:color="auto"/>
                                                                                            <w:bottom w:val="none" w:sz="0" w:space="0" w:color="auto"/>
                                                                                            <w:right w:val="none" w:sz="0" w:space="0" w:color="auto"/>
                                                                                          </w:divBdr>
                                                                                        </w:div>
                                                                                      </w:divsChild>
                                                                                    </w:div>
                                                                                    <w:div w:id="1462649647">
                                                                                      <w:marLeft w:val="0"/>
                                                                                      <w:marRight w:val="0"/>
                                                                                      <w:marTop w:val="0"/>
                                                                                      <w:marBottom w:val="0"/>
                                                                                      <w:divBdr>
                                                                                        <w:top w:val="none" w:sz="0" w:space="0" w:color="auto"/>
                                                                                        <w:left w:val="none" w:sz="0" w:space="0" w:color="auto"/>
                                                                                        <w:bottom w:val="none" w:sz="0" w:space="0" w:color="auto"/>
                                                                                        <w:right w:val="none" w:sz="0" w:space="0" w:color="auto"/>
                                                                                      </w:divBdr>
                                                                                      <w:divsChild>
                                                                                        <w:div w:id="2120828376">
                                                                                          <w:marLeft w:val="0"/>
                                                                                          <w:marRight w:val="0"/>
                                                                                          <w:marTop w:val="0"/>
                                                                                          <w:marBottom w:val="0"/>
                                                                                          <w:divBdr>
                                                                                            <w:top w:val="none" w:sz="0" w:space="0" w:color="auto"/>
                                                                                            <w:left w:val="none" w:sz="0" w:space="0" w:color="auto"/>
                                                                                            <w:bottom w:val="none" w:sz="0" w:space="0" w:color="auto"/>
                                                                                            <w:right w:val="none" w:sz="0" w:space="0" w:color="auto"/>
                                                                                          </w:divBdr>
                                                                                        </w:div>
                                                                                        <w:div w:id="1681808152">
                                                                                          <w:marLeft w:val="0"/>
                                                                                          <w:marRight w:val="0"/>
                                                                                          <w:marTop w:val="0"/>
                                                                                          <w:marBottom w:val="0"/>
                                                                                          <w:divBdr>
                                                                                            <w:top w:val="none" w:sz="0" w:space="0" w:color="auto"/>
                                                                                            <w:left w:val="none" w:sz="0" w:space="0" w:color="auto"/>
                                                                                            <w:bottom w:val="none" w:sz="0" w:space="0" w:color="auto"/>
                                                                                            <w:right w:val="none" w:sz="0" w:space="0" w:color="auto"/>
                                                                                          </w:divBdr>
                                                                                        </w:div>
                                                                                      </w:divsChild>
                                                                                    </w:div>
                                                                                    <w:div w:id="526405754">
                                                                                      <w:marLeft w:val="0"/>
                                                                                      <w:marRight w:val="0"/>
                                                                                      <w:marTop w:val="0"/>
                                                                                      <w:marBottom w:val="0"/>
                                                                                      <w:divBdr>
                                                                                        <w:top w:val="none" w:sz="0" w:space="0" w:color="auto"/>
                                                                                        <w:left w:val="none" w:sz="0" w:space="0" w:color="auto"/>
                                                                                        <w:bottom w:val="none" w:sz="0" w:space="0" w:color="auto"/>
                                                                                        <w:right w:val="none" w:sz="0" w:space="0" w:color="auto"/>
                                                                                      </w:divBdr>
                                                                                      <w:divsChild>
                                                                                        <w:div w:id="795291659">
                                                                                          <w:marLeft w:val="0"/>
                                                                                          <w:marRight w:val="0"/>
                                                                                          <w:marTop w:val="0"/>
                                                                                          <w:marBottom w:val="0"/>
                                                                                          <w:divBdr>
                                                                                            <w:top w:val="none" w:sz="0" w:space="0" w:color="auto"/>
                                                                                            <w:left w:val="none" w:sz="0" w:space="0" w:color="auto"/>
                                                                                            <w:bottom w:val="none" w:sz="0" w:space="0" w:color="auto"/>
                                                                                            <w:right w:val="none" w:sz="0" w:space="0" w:color="auto"/>
                                                                                          </w:divBdr>
                                                                                        </w:div>
                                                                                        <w:div w:id="738090197">
                                                                                          <w:marLeft w:val="0"/>
                                                                                          <w:marRight w:val="0"/>
                                                                                          <w:marTop w:val="0"/>
                                                                                          <w:marBottom w:val="0"/>
                                                                                          <w:divBdr>
                                                                                            <w:top w:val="none" w:sz="0" w:space="0" w:color="auto"/>
                                                                                            <w:left w:val="none" w:sz="0" w:space="0" w:color="auto"/>
                                                                                            <w:bottom w:val="none" w:sz="0" w:space="0" w:color="auto"/>
                                                                                            <w:right w:val="none" w:sz="0" w:space="0" w:color="auto"/>
                                                                                          </w:divBdr>
                                                                                        </w:div>
                                                                                        <w:div w:id="15403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7248894">
      <w:bodyDiv w:val="1"/>
      <w:marLeft w:val="0"/>
      <w:marRight w:val="0"/>
      <w:marTop w:val="0"/>
      <w:marBottom w:val="0"/>
      <w:divBdr>
        <w:top w:val="none" w:sz="0" w:space="0" w:color="auto"/>
        <w:left w:val="none" w:sz="0" w:space="0" w:color="auto"/>
        <w:bottom w:val="none" w:sz="0" w:space="0" w:color="auto"/>
        <w:right w:val="none" w:sz="0" w:space="0" w:color="auto"/>
      </w:divBdr>
    </w:div>
    <w:div w:id="1277251069">
      <w:bodyDiv w:val="1"/>
      <w:marLeft w:val="0"/>
      <w:marRight w:val="0"/>
      <w:marTop w:val="0"/>
      <w:marBottom w:val="0"/>
      <w:divBdr>
        <w:top w:val="none" w:sz="0" w:space="0" w:color="auto"/>
        <w:left w:val="none" w:sz="0" w:space="0" w:color="auto"/>
        <w:bottom w:val="none" w:sz="0" w:space="0" w:color="auto"/>
        <w:right w:val="none" w:sz="0" w:space="0" w:color="auto"/>
      </w:divBdr>
    </w:div>
    <w:div w:id="1278412559">
      <w:bodyDiv w:val="1"/>
      <w:marLeft w:val="0"/>
      <w:marRight w:val="0"/>
      <w:marTop w:val="0"/>
      <w:marBottom w:val="0"/>
      <w:divBdr>
        <w:top w:val="none" w:sz="0" w:space="0" w:color="auto"/>
        <w:left w:val="none" w:sz="0" w:space="0" w:color="auto"/>
        <w:bottom w:val="none" w:sz="0" w:space="0" w:color="auto"/>
        <w:right w:val="none" w:sz="0" w:space="0" w:color="auto"/>
      </w:divBdr>
    </w:div>
    <w:div w:id="1279070581">
      <w:bodyDiv w:val="1"/>
      <w:marLeft w:val="0"/>
      <w:marRight w:val="0"/>
      <w:marTop w:val="0"/>
      <w:marBottom w:val="0"/>
      <w:divBdr>
        <w:top w:val="none" w:sz="0" w:space="0" w:color="auto"/>
        <w:left w:val="none" w:sz="0" w:space="0" w:color="auto"/>
        <w:bottom w:val="none" w:sz="0" w:space="0" w:color="auto"/>
        <w:right w:val="none" w:sz="0" w:space="0" w:color="auto"/>
      </w:divBdr>
    </w:div>
    <w:div w:id="1284579935">
      <w:bodyDiv w:val="1"/>
      <w:marLeft w:val="0"/>
      <w:marRight w:val="0"/>
      <w:marTop w:val="0"/>
      <w:marBottom w:val="0"/>
      <w:divBdr>
        <w:top w:val="none" w:sz="0" w:space="0" w:color="auto"/>
        <w:left w:val="none" w:sz="0" w:space="0" w:color="auto"/>
        <w:bottom w:val="none" w:sz="0" w:space="0" w:color="auto"/>
        <w:right w:val="none" w:sz="0" w:space="0" w:color="auto"/>
      </w:divBdr>
    </w:div>
    <w:div w:id="1287005899">
      <w:bodyDiv w:val="1"/>
      <w:marLeft w:val="0"/>
      <w:marRight w:val="0"/>
      <w:marTop w:val="0"/>
      <w:marBottom w:val="0"/>
      <w:divBdr>
        <w:top w:val="none" w:sz="0" w:space="0" w:color="auto"/>
        <w:left w:val="none" w:sz="0" w:space="0" w:color="auto"/>
        <w:bottom w:val="none" w:sz="0" w:space="0" w:color="auto"/>
        <w:right w:val="none" w:sz="0" w:space="0" w:color="auto"/>
      </w:divBdr>
    </w:div>
    <w:div w:id="1293753226">
      <w:bodyDiv w:val="1"/>
      <w:marLeft w:val="0"/>
      <w:marRight w:val="0"/>
      <w:marTop w:val="0"/>
      <w:marBottom w:val="0"/>
      <w:divBdr>
        <w:top w:val="none" w:sz="0" w:space="0" w:color="auto"/>
        <w:left w:val="none" w:sz="0" w:space="0" w:color="auto"/>
        <w:bottom w:val="none" w:sz="0" w:space="0" w:color="auto"/>
        <w:right w:val="none" w:sz="0" w:space="0" w:color="auto"/>
      </w:divBdr>
    </w:div>
    <w:div w:id="1304460911">
      <w:bodyDiv w:val="1"/>
      <w:marLeft w:val="0"/>
      <w:marRight w:val="0"/>
      <w:marTop w:val="0"/>
      <w:marBottom w:val="0"/>
      <w:divBdr>
        <w:top w:val="none" w:sz="0" w:space="0" w:color="auto"/>
        <w:left w:val="none" w:sz="0" w:space="0" w:color="auto"/>
        <w:bottom w:val="none" w:sz="0" w:space="0" w:color="auto"/>
        <w:right w:val="none" w:sz="0" w:space="0" w:color="auto"/>
      </w:divBdr>
    </w:div>
    <w:div w:id="1305350078">
      <w:bodyDiv w:val="1"/>
      <w:marLeft w:val="0"/>
      <w:marRight w:val="0"/>
      <w:marTop w:val="0"/>
      <w:marBottom w:val="0"/>
      <w:divBdr>
        <w:top w:val="none" w:sz="0" w:space="0" w:color="auto"/>
        <w:left w:val="none" w:sz="0" w:space="0" w:color="auto"/>
        <w:bottom w:val="none" w:sz="0" w:space="0" w:color="auto"/>
        <w:right w:val="none" w:sz="0" w:space="0" w:color="auto"/>
      </w:divBdr>
    </w:div>
    <w:div w:id="1305739741">
      <w:bodyDiv w:val="1"/>
      <w:marLeft w:val="0"/>
      <w:marRight w:val="0"/>
      <w:marTop w:val="0"/>
      <w:marBottom w:val="0"/>
      <w:divBdr>
        <w:top w:val="none" w:sz="0" w:space="0" w:color="auto"/>
        <w:left w:val="none" w:sz="0" w:space="0" w:color="auto"/>
        <w:bottom w:val="none" w:sz="0" w:space="0" w:color="auto"/>
        <w:right w:val="none" w:sz="0" w:space="0" w:color="auto"/>
      </w:divBdr>
    </w:div>
    <w:div w:id="1315061243">
      <w:bodyDiv w:val="1"/>
      <w:marLeft w:val="0"/>
      <w:marRight w:val="0"/>
      <w:marTop w:val="0"/>
      <w:marBottom w:val="0"/>
      <w:divBdr>
        <w:top w:val="none" w:sz="0" w:space="0" w:color="auto"/>
        <w:left w:val="none" w:sz="0" w:space="0" w:color="auto"/>
        <w:bottom w:val="none" w:sz="0" w:space="0" w:color="auto"/>
        <w:right w:val="none" w:sz="0" w:space="0" w:color="auto"/>
      </w:divBdr>
    </w:div>
    <w:div w:id="1324234164">
      <w:bodyDiv w:val="1"/>
      <w:marLeft w:val="0"/>
      <w:marRight w:val="0"/>
      <w:marTop w:val="0"/>
      <w:marBottom w:val="0"/>
      <w:divBdr>
        <w:top w:val="none" w:sz="0" w:space="0" w:color="auto"/>
        <w:left w:val="none" w:sz="0" w:space="0" w:color="auto"/>
        <w:bottom w:val="none" w:sz="0" w:space="0" w:color="auto"/>
        <w:right w:val="none" w:sz="0" w:space="0" w:color="auto"/>
      </w:divBdr>
    </w:div>
    <w:div w:id="1325166261">
      <w:bodyDiv w:val="1"/>
      <w:marLeft w:val="0"/>
      <w:marRight w:val="0"/>
      <w:marTop w:val="0"/>
      <w:marBottom w:val="0"/>
      <w:divBdr>
        <w:top w:val="none" w:sz="0" w:space="0" w:color="auto"/>
        <w:left w:val="none" w:sz="0" w:space="0" w:color="auto"/>
        <w:bottom w:val="none" w:sz="0" w:space="0" w:color="auto"/>
        <w:right w:val="none" w:sz="0" w:space="0" w:color="auto"/>
      </w:divBdr>
      <w:divsChild>
        <w:div w:id="640034684">
          <w:marLeft w:val="0"/>
          <w:marRight w:val="0"/>
          <w:marTop w:val="0"/>
          <w:marBottom w:val="0"/>
          <w:divBdr>
            <w:top w:val="none" w:sz="0" w:space="0" w:color="auto"/>
            <w:left w:val="none" w:sz="0" w:space="0" w:color="auto"/>
            <w:bottom w:val="none" w:sz="0" w:space="0" w:color="auto"/>
            <w:right w:val="none" w:sz="0" w:space="0" w:color="auto"/>
          </w:divBdr>
          <w:divsChild>
            <w:div w:id="611478313">
              <w:marLeft w:val="0"/>
              <w:marRight w:val="0"/>
              <w:marTop w:val="0"/>
              <w:marBottom w:val="0"/>
              <w:divBdr>
                <w:top w:val="none" w:sz="0" w:space="0" w:color="auto"/>
                <w:left w:val="none" w:sz="0" w:space="0" w:color="auto"/>
                <w:bottom w:val="none" w:sz="0" w:space="0" w:color="auto"/>
                <w:right w:val="none" w:sz="0" w:space="0" w:color="auto"/>
              </w:divBdr>
              <w:divsChild>
                <w:div w:id="1308585419">
                  <w:marLeft w:val="0"/>
                  <w:marRight w:val="0"/>
                  <w:marTop w:val="0"/>
                  <w:marBottom w:val="0"/>
                  <w:divBdr>
                    <w:top w:val="none" w:sz="0" w:space="0" w:color="auto"/>
                    <w:left w:val="none" w:sz="0" w:space="0" w:color="auto"/>
                    <w:bottom w:val="none" w:sz="0" w:space="0" w:color="auto"/>
                    <w:right w:val="none" w:sz="0" w:space="0" w:color="auto"/>
                  </w:divBdr>
                  <w:divsChild>
                    <w:div w:id="6907256">
                      <w:marLeft w:val="0"/>
                      <w:marRight w:val="0"/>
                      <w:marTop w:val="0"/>
                      <w:marBottom w:val="0"/>
                      <w:divBdr>
                        <w:top w:val="none" w:sz="0" w:space="0" w:color="auto"/>
                        <w:left w:val="none" w:sz="0" w:space="0" w:color="auto"/>
                        <w:bottom w:val="none" w:sz="0" w:space="0" w:color="auto"/>
                        <w:right w:val="none" w:sz="0" w:space="0" w:color="auto"/>
                      </w:divBdr>
                      <w:divsChild>
                        <w:div w:id="641547171">
                          <w:marLeft w:val="0"/>
                          <w:marRight w:val="0"/>
                          <w:marTop w:val="0"/>
                          <w:marBottom w:val="0"/>
                          <w:divBdr>
                            <w:top w:val="none" w:sz="0" w:space="0" w:color="auto"/>
                            <w:left w:val="none" w:sz="0" w:space="0" w:color="auto"/>
                            <w:bottom w:val="none" w:sz="0" w:space="0" w:color="auto"/>
                            <w:right w:val="none" w:sz="0" w:space="0" w:color="auto"/>
                          </w:divBdr>
                          <w:divsChild>
                            <w:div w:id="2109157597">
                              <w:marLeft w:val="0"/>
                              <w:marRight w:val="0"/>
                              <w:marTop w:val="0"/>
                              <w:marBottom w:val="0"/>
                              <w:divBdr>
                                <w:top w:val="none" w:sz="0" w:space="0" w:color="auto"/>
                                <w:left w:val="none" w:sz="0" w:space="0" w:color="auto"/>
                                <w:bottom w:val="none" w:sz="0" w:space="0" w:color="auto"/>
                                <w:right w:val="none" w:sz="0" w:space="0" w:color="auto"/>
                              </w:divBdr>
                              <w:divsChild>
                                <w:div w:id="1683622522">
                                  <w:marLeft w:val="0"/>
                                  <w:marRight w:val="0"/>
                                  <w:marTop w:val="0"/>
                                  <w:marBottom w:val="0"/>
                                  <w:divBdr>
                                    <w:top w:val="none" w:sz="0" w:space="0" w:color="auto"/>
                                    <w:left w:val="none" w:sz="0" w:space="0" w:color="auto"/>
                                    <w:bottom w:val="none" w:sz="0" w:space="0" w:color="auto"/>
                                    <w:right w:val="none" w:sz="0" w:space="0" w:color="auto"/>
                                  </w:divBdr>
                                  <w:divsChild>
                                    <w:div w:id="187262188">
                                      <w:marLeft w:val="0"/>
                                      <w:marRight w:val="0"/>
                                      <w:marTop w:val="0"/>
                                      <w:marBottom w:val="0"/>
                                      <w:divBdr>
                                        <w:top w:val="none" w:sz="0" w:space="0" w:color="auto"/>
                                        <w:left w:val="none" w:sz="0" w:space="0" w:color="auto"/>
                                        <w:bottom w:val="none" w:sz="0" w:space="0" w:color="auto"/>
                                        <w:right w:val="none" w:sz="0" w:space="0" w:color="auto"/>
                                      </w:divBdr>
                                      <w:divsChild>
                                        <w:div w:id="808935111">
                                          <w:marLeft w:val="0"/>
                                          <w:marRight w:val="0"/>
                                          <w:marTop w:val="0"/>
                                          <w:marBottom w:val="0"/>
                                          <w:divBdr>
                                            <w:top w:val="none" w:sz="0" w:space="0" w:color="auto"/>
                                            <w:left w:val="none" w:sz="0" w:space="0" w:color="auto"/>
                                            <w:bottom w:val="none" w:sz="0" w:space="0" w:color="auto"/>
                                            <w:right w:val="none" w:sz="0" w:space="0" w:color="auto"/>
                                          </w:divBdr>
                                          <w:divsChild>
                                            <w:div w:id="2138907258">
                                              <w:marLeft w:val="0"/>
                                              <w:marRight w:val="0"/>
                                              <w:marTop w:val="0"/>
                                              <w:marBottom w:val="0"/>
                                              <w:divBdr>
                                                <w:top w:val="none" w:sz="0" w:space="0" w:color="auto"/>
                                                <w:left w:val="none" w:sz="0" w:space="0" w:color="auto"/>
                                                <w:bottom w:val="none" w:sz="0" w:space="0" w:color="auto"/>
                                                <w:right w:val="none" w:sz="0" w:space="0" w:color="auto"/>
                                              </w:divBdr>
                                              <w:divsChild>
                                                <w:div w:id="16002331">
                                                  <w:marLeft w:val="0"/>
                                                  <w:marRight w:val="0"/>
                                                  <w:marTop w:val="0"/>
                                                  <w:marBottom w:val="540"/>
                                                  <w:divBdr>
                                                    <w:top w:val="none" w:sz="0" w:space="0" w:color="auto"/>
                                                    <w:left w:val="none" w:sz="0" w:space="0" w:color="auto"/>
                                                    <w:bottom w:val="none" w:sz="0" w:space="0" w:color="auto"/>
                                                    <w:right w:val="none" w:sz="0" w:space="0" w:color="auto"/>
                                                  </w:divBdr>
                                                  <w:divsChild>
                                                    <w:div w:id="1173448151">
                                                      <w:marLeft w:val="0"/>
                                                      <w:marRight w:val="0"/>
                                                      <w:marTop w:val="0"/>
                                                      <w:marBottom w:val="0"/>
                                                      <w:divBdr>
                                                        <w:top w:val="none" w:sz="0" w:space="0" w:color="auto"/>
                                                        <w:left w:val="none" w:sz="0" w:space="0" w:color="auto"/>
                                                        <w:bottom w:val="none" w:sz="0" w:space="0" w:color="auto"/>
                                                        <w:right w:val="none" w:sz="0" w:space="0" w:color="auto"/>
                                                      </w:divBdr>
                                                      <w:divsChild>
                                                        <w:div w:id="1233810982">
                                                          <w:marLeft w:val="0"/>
                                                          <w:marRight w:val="0"/>
                                                          <w:marTop w:val="0"/>
                                                          <w:marBottom w:val="0"/>
                                                          <w:divBdr>
                                                            <w:top w:val="single" w:sz="6" w:space="0" w:color="ABABAB"/>
                                                            <w:left w:val="single" w:sz="6" w:space="0" w:color="ABABAB"/>
                                                            <w:bottom w:val="single" w:sz="6" w:space="0" w:color="ABABAB"/>
                                                            <w:right w:val="single" w:sz="6" w:space="0" w:color="ABABAB"/>
                                                          </w:divBdr>
                                                          <w:divsChild>
                                                            <w:div w:id="1669823482">
                                                              <w:marLeft w:val="0"/>
                                                              <w:marRight w:val="0"/>
                                                              <w:marTop w:val="0"/>
                                                              <w:marBottom w:val="0"/>
                                                              <w:divBdr>
                                                                <w:top w:val="none" w:sz="0" w:space="0" w:color="auto"/>
                                                                <w:left w:val="none" w:sz="0" w:space="0" w:color="auto"/>
                                                                <w:bottom w:val="none" w:sz="0" w:space="0" w:color="auto"/>
                                                                <w:right w:val="none" w:sz="0" w:space="0" w:color="auto"/>
                                                              </w:divBdr>
                                                              <w:divsChild>
                                                                <w:div w:id="938607252">
                                                                  <w:marLeft w:val="0"/>
                                                                  <w:marRight w:val="0"/>
                                                                  <w:marTop w:val="0"/>
                                                                  <w:marBottom w:val="0"/>
                                                                  <w:divBdr>
                                                                    <w:top w:val="none" w:sz="0" w:space="0" w:color="auto"/>
                                                                    <w:left w:val="none" w:sz="0" w:space="0" w:color="auto"/>
                                                                    <w:bottom w:val="none" w:sz="0" w:space="0" w:color="auto"/>
                                                                    <w:right w:val="none" w:sz="0" w:space="0" w:color="auto"/>
                                                                  </w:divBdr>
                                                                  <w:divsChild>
                                                                    <w:div w:id="978001763">
                                                                      <w:marLeft w:val="0"/>
                                                                      <w:marRight w:val="0"/>
                                                                      <w:marTop w:val="0"/>
                                                                      <w:marBottom w:val="0"/>
                                                                      <w:divBdr>
                                                                        <w:top w:val="none" w:sz="0" w:space="0" w:color="auto"/>
                                                                        <w:left w:val="none" w:sz="0" w:space="0" w:color="auto"/>
                                                                        <w:bottom w:val="none" w:sz="0" w:space="0" w:color="auto"/>
                                                                        <w:right w:val="none" w:sz="0" w:space="0" w:color="auto"/>
                                                                      </w:divBdr>
                                                                      <w:divsChild>
                                                                        <w:div w:id="1287078558">
                                                                          <w:marLeft w:val="0"/>
                                                                          <w:marRight w:val="0"/>
                                                                          <w:marTop w:val="0"/>
                                                                          <w:marBottom w:val="0"/>
                                                                          <w:divBdr>
                                                                            <w:top w:val="none" w:sz="0" w:space="0" w:color="auto"/>
                                                                            <w:left w:val="none" w:sz="0" w:space="0" w:color="auto"/>
                                                                            <w:bottom w:val="none" w:sz="0" w:space="0" w:color="auto"/>
                                                                            <w:right w:val="none" w:sz="0" w:space="0" w:color="auto"/>
                                                                          </w:divBdr>
                                                                          <w:divsChild>
                                                                            <w:div w:id="64501482">
                                                                              <w:marLeft w:val="0"/>
                                                                              <w:marRight w:val="0"/>
                                                                              <w:marTop w:val="0"/>
                                                                              <w:marBottom w:val="0"/>
                                                                              <w:divBdr>
                                                                                <w:top w:val="none" w:sz="0" w:space="0" w:color="auto"/>
                                                                                <w:left w:val="none" w:sz="0" w:space="0" w:color="auto"/>
                                                                                <w:bottom w:val="none" w:sz="0" w:space="0" w:color="auto"/>
                                                                                <w:right w:val="none" w:sz="0" w:space="0" w:color="auto"/>
                                                                              </w:divBdr>
                                                                              <w:divsChild>
                                                                                <w:div w:id="2025208696">
                                                                                  <w:marLeft w:val="0"/>
                                                                                  <w:marRight w:val="0"/>
                                                                                  <w:marTop w:val="0"/>
                                                                                  <w:marBottom w:val="0"/>
                                                                                  <w:divBdr>
                                                                                    <w:top w:val="none" w:sz="0" w:space="0" w:color="auto"/>
                                                                                    <w:left w:val="none" w:sz="0" w:space="0" w:color="auto"/>
                                                                                    <w:bottom w:val="none" w:sz="0" w:space="0" w:color="auto"/>
                                                                                    <w:right w:val="none" w:sz="0" w:space="0" w:color="auto"/>
                                                                                  </w:divBdr>
                                                                                  <w:divsChild>
                                                                                    <w:div w:id="1107886886">
                                                                                      <w:marLeft w:val="0"/>
                                                                                      <w:marRight w:val="0"/>
                                                                                      <w:marTop w:val="0"/>
                                                                                      <w:marBottom w:val="0"/>
                                                                                      <w:divBdr>
                                                                                        <w:top w:val="none" w:sz="0" w:space="0" w:color="auto"/>
                                                                                        <w:left w:val="none" w:sz="0" w:space="0" w:color="auto"/>
                                                                                        <w:bottom w:val="none" w:sz="0" w:space="0" w:color="auto"/>
                                                                                        <w:right w:val="none" w:sz="0" w:space="0" w:color="auto"/>
                                                                                      </w:divBdr>
                                                                                      <w:divsChild>
                                                                                        <w:div w:id="1211258619">
                                                                                          <w:marLeft w:val="0"/>
                                                                                          <w:marRight w:val="0"/>
                                                                                          <w:marTop w:val="0"/>
                                                                                          <w:marBottom w:val="0"/>
                                                                                          <w:divBdr>
                                                                                            <w:top w:val="none" w:sz="0" w:space="0" w:color="auto"/>
                                                                                            <w:left w:val="none" w:sz="0" w:space="0" w:color="auto"/>
                                                                                            <w:bottom w:val="none" w:sz="0" w:space="0" w:color="auto"/>
                                                                                            <w:right w:val="none" w:sz="0" w:space="0" w:color="auto"/>
                                                                                          </w:divBdr>
                                                                                        </w:div>
                                                                                        <w:div w:id="1856473">
                                                                                          <w:marLeft w:val="0"/>
                                                                                          <w:marRight w:val="0"/>
                                                                                          <w:marTop w:val="0"/>
                                                                                          <w:marBottom w:val="0"/>
                                                                                          <w:divBdr>
                                                                                            <w:top w:val="none" w:sz="0" w:space="0" w:color="auto"/>
                                                                                            <w:left w:val="none" w:sz="0" w:space="0" w:color="auto"/>
                                                                                            <w:bottom w:val="none" w:sz="0" w:space="0" w:color="auto"/>
                                                                                            <w:right w:val="none" w:sz="0" w:space="0" w:color="auto"/>
                                                                                          </w:divBdr>
                                                                                        </w:div>
                                                                                      </w:divsChild>
                                                                                    </w:div>
                                                                                    <w:div w:id="561139333">
                                                                                      <w:marLeft w:val="0"/>
                                                                                      <w:marRight w:val="0"/>
                                                                                      <w:marTop w:val="0"/>
                                                                                      <w:marBottom w:val="0"/>
                                                                                      <w:divBdr>
                                                                                        <w:top w:val="none" w:sz="0" w:space="0" w:color="auto"/>
                                                                                        <w:left w:val="none" w:sz="0" w:space="0" w:color="auto"/>
                                                                                        <w:bottom w:val="none" w:sz="0" w:space="0" w:color="auto"/>
                                                                                        <w:right w:val="none" w:sz="0" w:space="0" w:color="auto"/>
                                                                                      </w:divBdr>
                                                                                      <w:divsChild>
                                                                                        <w:div w:id="1235824205">
                                                                                          <w:marLeft w:val="0"/>
                                                                                          <w:marRight w:val="0"/>
                                                                                          <w:marTop w:val="0"/>
                                                                                          <w:marBottom w:val="0"/>
                                                                                          <w:divBdr>
                                                                                            <w:top w:val="none" w:sz="0" w:space="0" w:color="auto"/>
                                                                                            <w:left w:val="none" w:sz="0" w:space="0" w:color="auto"/>
                                                                                            <w:bottom w:val="none" w:sz="0" w:space="0" w:color="auto"/>
                                                                                            <w:right w:val="none" w:sz="0" w:space="0" w:color="auto"/>
                                                                                          </w:divBdr>
                                                                                        </w:div>
                                                                                        <w:div w:id="1439906788">
                                                                                          <w:marLeft w:val="0"/>
                                                                                          <w:marRight w:val="0"/>
                                                                                          <w:marTop w:val="0"/>
                                                                                          <w:marBottom w:val="0"/>
                                                                                          <w:divBdr>
                                                                                            <w:top w:val="none" w:sz="0" w:space="0" w:color="auto"/>
                                                                                            <w:left w:val="none" w:sz="0" w:space="0" w:color="auto"/>
                                                                                            <w:bottom w:val="none" w:sz="0" w:space="0" w:color="auto"/>
                                                                                            <w:right w:val="none" w:sz="0" w:space="0" w:color="auto"/>
                                                                                          </w:divBdr>
                                                                                        </w:div>
                                                                                        <w:div w:id="996223951">
                                                                                          <w:marLeft w:val="0"/>
                                                                                          <w:marRight w:val="0"/>
                                                                                          <w:marTop w:val="0"/>
                                                                                          <w:marBottom w:val="0"/>
                                                                                          <w:divBdr>
                                                                                            <w:top w:val="none" w:sz="0" w:space="0" w:color="auto"/>
                                                                                            <w:left w:val="none" w:sz="0" w:space="0" w:color="auto"/>
                                                                                            <w:bottom w:val="none" w:sz="0" w:space="0" w:color="auto"/>
                                                                                            <w:right w:val="none" w:sz="0" w:space="0" w:color="auto"/>
                                                                                          </w:divBdr>
                                                                                        </w:div>
                                                                                        <w:div w:id="1031222753">
                                                                                          <w:marLeft w:val="0"/>
                                                                                          <w:marRight w:val="0"/>
                                                                                          <w:marTop w:val="0"/>
                                                                                          <w:marBottom w:val="0"/>
                                                                                          <w:divBdr>
                                                                                            <w:top w:val="none" w:sz="0" w:space="0" w:color="auto"/>
                                                                                            <w:left w:val="none" w:sz="0" w:space="0" w:color="auto"/>
                                                                                            <w:bottom w:val="none" w:sz="0" w:space="0" w:color="auto"/>
                                                                                            <w:right w:val="none" w:sz="0" w:space="0" w:color="auto"/>
                                                                                          </w:divBdr>
                                                                                        </w:div>
                                                                                      </w:divsChild>
                                                                                    </w:div>
                                                                                    <w:div w:id="1931501234">
                                                                                      <w:marLeft w:val="0"/>
                                                                                      <w:marRight w:val="0"/>
                                                                                      <w:marTop w:val="0"/>
                                                                                      <w:marBottom w:val="0"/>
                                                                                      <w:divBdr>
                                                                                        <w:top w:val="none" w:sz="0" w:space="0" w:color="auto"/>
                                                                                        <w:left w:val="none" w:sz="0" w:space="0" w:color="auto"/>
                                                                                        <w:bottom w:val="none" w:sz="0" w:space="0" w:color="auto"/>
                                                                                        <w:right w:val="none" w:sz="0" w:space="0" w:color="auto"/>
                                                                                      </w:divBdr>
                                                                                      <w:divsChild>
                                                                                        <w:div w:id="162962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1718580">
      <w:bodyDiv w:val="1"/>
      <w:marLeft w:val="0"/>
      <w:marRight w:val="0"/>
      <w:marTop w:val="0"/>
      <w:marBottom w:val="0"/>
      <w:divBdr>
        <w:top w:val="none" w:sz="0" w:space="0" w:color="auto"/>
        <w:left w:val="none" w:sz="0" w:space="0" w:color="auto"/>
        <w:bottom w:val="none" w:sz="0" w:space="0" w:color="auto"/>
        <w:right w:val="none" w:sz="0" w:space="0" w:color="auto"/>
      </w:divBdr>
    </w:div>
    <w:div w:id="1346637663">
      <w:bodyDiv w:val="1"/>
      <w:marLeft w:val="0"/>
      <w:marRight w:val="0"/>
      <w:marTop w:val="0"/>
      <w:marBottom w:val="0"/>
      <w:divBdr>
        <w:top w:val="none" w:sz="0" w:space="0" w:color="auto"/>
        <w:left w:val="none" w:sz="0" w:space="0" w:color="auto"/>
        <w:bottom w:val="none" w:sz="0" w:space="0" w:color="auto"/>
        <w:right w:val="none" w:sz="0" w:space="0" w:color="auto"/>
      </w:divBdr>
    </w:div>
    <w:div w:id="1347248921">
      <w:bodyDiv w:val="1"/>
      <w:marLeft w:val="0"/>
      <w:marRight w:val="0"/>
      <w:marTop w:val="0"/>
      <w:marBottom w:val="0"/>
      <w:divBdr>
        <w:top w:val="none" w:sz="0" w:space="0" w:color="auto"/>
        <w:left w:val="none" w:sz="0" w:space="0" w:color="auto"/>
        <w:bottom w:val="none" w:sz="0" w:space="0" w:color="auto"/>
        <w:right w:val="none" w:sz="0" w:space="0" w:color="auto"/>
      </w:divBdr>
    </w:div>
    <w:div w:id="1350064869">
      <w:bodyDiv w:val="1"/>
      <w:marLeft w:val="0"/>
      <w:marRight w:val="0"/>
      <w:marTop w:val="0"/>
      <w:marBottom w:val="0"/>
      <w:divBdr>
        <w:top w:val="none" w:sz="0" w:space="0" w:color="auto"/>
        <w:left w:val="none" w:sz="0" w:space="0" w:color="auto"/>
        <w:bottom w:val="none" w:sz="0" w:space="0" w:color="auto"/>
        <w:right w:val="none" w:sz="0" w:space="0" w:color="auto"/>
      </w:divBdr>
      <w:divsChild>
        <w:div w:id="721559566">
          <w:marLeft w:val="0"/>
          <w:marRight w:val="0"/>
          <w:marTop w:val="0"/>
          <w:marBottom w:val="0"/>
          <w:divBdr>
            <w:top w:val="none" w:sz="0" w:space="0" w:color="auto"/>
            <w:left w:val="none" w:sz="0" w:space="0" w:color="auto"/>
            <w:bottom w:val="none" w:sz="0" w:space="0" w:color="auto"/>
            <w:right w:val="none" w:sz="0" w:space="0" w:color="auto"/>
          </w:divBdr>
          <w:divsChild>
            <w:div w:id="1470052644">
              <w:marLeft w:val="0"/>
              <w:marRight w:val="0"/>
              <w:marTop w:val="0"/>
              <w:marBottom w:val="0"/>
              <w:divBdr>
                <w:top w:val="none" w:sz="0" w:space="0" w:color="auto"/>
                <w:left w:val="none" w:sz="0" w:space="0" w:color="auto"/>
                <w:bottom w:val="none" w:sz="0" w:space="0" w:color="auto"/>
                <w:right w:val="none" w:sz="0" w:space="0" w:color="auto"/>
              </w:divBdr>
              <w:divsChild>
                <w:div w:id="1565140977">
                  <w:marLeft w:val="0"/>
                  <w:marRight w:val="0"/>
                  <w:marTop w:val="0"/>
                  <w:marBottom w:val="0"/>
                  <w:divBdr>
                    <w:top w:val="none" w:sz="0" w:space="0" w:color="auto"/>
                    <w:left w:val="none" w:sz="0" w:space="0" w:color="auto"/>
                    <w:bottom w:val="none" w:sz="0" w:space="0" w:color="auto"/>
                    <w:right w:val="none" w:sz="0" w:space="0" w:color="auto"/>
                  </w:divBdr>
                  <w:divsChild>
                    <w:div w:id="598367918">
                      <w:marLeft w:val="0"/>
                      <w:marRight w:val="0"/>
                      <w:marTop w:val="0"/>
                      <w:marBottom w:val="0"/>
                      <w:divBdr>
                        <w:top w:val="none" w:sz="0" w:space="0" w:color="auto"/>
                        <w:left w:val="none" w:sz="0" w:space="0" w:color="auto"/>
                        <w:bottom w:val="none" w:sz="0" w:space="0" w:color="auto"/>
                        <w:right w:val="none" w:sz="0" w:space="0" w:color="auto"/>
                      </w:divBdr>
                      <w:divsChild>
                        <w:div w:id="267010630">
                          <w:marLeft w:val="0"/>
                          <w:marRight w:val="0"/>
                          <w:marTop w:val="0"/>
                          <w:marBottom w:val="0"/>
                          <w:divBdr>
                            <w:top w:val="none" w:sz="0" w:space="0" w:color="auto"/>
                            <w:left w:val="none" w:sz="0" w:space="0" w:color="auto"/>
                            <w:bottom w:val="none" w:sz="0" w:space="0" w:color="auto"/>
                            <w:right w:val="none" w:sz="0" w:space="0" w:color="auto"/>
                          </w:divBdr>
                          <w:divsChild>
                            <w:div w:id="1393848502">
                              <w:marLeft w:val="0"/>
                              <w:marRight w:val="0"/>
                              <w:marTop w:val="0"/>
                              <w:marBottom w:val="0"/>
                              <w:divBdr>
                                <w:top w:val="none" w:sz="0" w:space="0" w:color="auto"/>
                                <w:left w:val="none" w:sz="0" w:space="0" w:color="auto"/>
                                <w:bottom w:val="none" w:sz="0" w:space="0" w:color="auto"/>
                                <w:right w:val="none" w:sz="0" w:space="0" w:color="auto"/>
                              </w:divBdr>
                              <w:divsChild>
                                <w:div w:id="1100178705">
                                  <w:marLeft w:val="0"/>
                                  <w:marRight w:val="0"/>
                                  <w:marTop w:val="0"/>
                                  <w:marBottom w:val="0"/>
                                  <w:divBdr>
                                    <w:top w:val="none" w:sz="0" w:space="0" w:color="auto"/>
                                    <w:left w:val="none" w:sz="0" w:space="0" w:color="auto"/>
                                    <w:bottom w:val="none" w:sz="0" w:space="0" w:color="auto"/>
                                    <w:right w:val="none" w:sz="0" w:space="0" w:color="auto"/>
                                  </w:divBdr>
                                  <w:divsChild>
                                    <w:div w:id="1518883193">
                                      <w:marLeft w:val="0"/>
                                      <w:marRight w:val="0"/>
                                      <w:marTop w:val="0"/>
                                      <w:marBottom w:val="0"/>
                                      <w:divBdr>
                                        <w:top w:val="none" w:sz="0" w:space="0" w:color="auto"/>
                                        <w:left w:val="none" w:sz="0" w:space="0" w:color="auto"/>
                                        <w:bottom w:val="none" w:sz="0" w:space="0" w:color="auto"/>
                                        <w:right w:val="none" w:sz="0" w:space="0" w:color="auto"/>
                                      </w:divBdr>
                                      <w:divsChild>
                                        <w:div w:id="475336654">
                                          <w:marLeft w:val="0"/>
                                          <w:marRight w:val="0"/>
                                          <w:marTop w:val="0"/>
                                          <w:marBottom w:val="0"/>
                                          <w:divBdr>
                                            <w:top w:val="none" w:sz="0" w:space="0" w:color="auto"/>
                                            <w:left w:val="none" w:sz="0" w:space="0" w:color="auto"/>
                                            <w:bottom w:val="none" w:sz="0" w:space="0" w:color="auto"/>
                                            <w:right w:val="none" w:sz="0" w:space="0" w:color="auto"/>
                                          </w:divBdr>
                                          <w:divsChild>
                                            <w:div w:id="288708141">
                                              <w:marLeft w:val="0"/>
                                              <w:marRight w:val="0"/>
                                              <w:marTop w:val="0"/>
                                              <w:marBottom w:val="0"/>
                                              <w:divBdr>
                                                <w:top w:val="none" w:sz="0" w:space="0" w:color="auto"/>
                                                <w:left w:val="none" w:sz="0" w:space="0" w:color="auto"/>
                                                <w:bottom w:val="none" w:sz="0" w:space="0" w:color="auto"/>
                                                <w:right w:val="none" w:sz="0" w:space="0" w:color="auto"/>
                                              </w:divBdr>
                                              <w:divsChild>
                                                <w:div w:id="783423713">
                                                  <w:marLeft w:val="0"/>
                                                  <w:marRight w:val="0"/>
                                                  <w:marTop w:val="0"/>
                                                  <w:marBottom w:val="540"/>
                                                  <w:divBdr>
                                                    <w:top w:val="none" w:sz="0" w:space="0" w:color="auto"/>
                                                    <w:left w:val="none" w:sz="0" w:space="0" w:color="auto"/>
                                                    <w:bottom w:val="none" w:sz="0" w:space="0" w:color="auto"/>
                                                    <w:right w:val="none" w:sz="0" w:space="0" w:color="auto"/>
                                                  </w:divBdr>
                                                  <w:divsChild>
                                                    <w:div w:id="391274294">
                                                      <w:marLeft w:val="0"/>
                                                      <w:marRight w:val="0"/>
                                                      <w:marTop w:val="0"/>
                                                      <w:marBottom w:val="0"/>
                                                      <w:divBdr>
                                                        <w:top w:val="none" w:sz="0" w:space="0" w:color="auto"/>
                                                        <w:left w:val="none" w:sz="0" w:space="0" w:color="auto"/>
                                                        <w:bottom w:val="none" w:sz="0" w:space="0" w:color="auto"/>
                                                        <w:right w:val="none" w:sz="0" w:space="0" w:color="auto"/>
                                                      </w:divBdr>
                                                      <w:divsChild>
                                                        <w:div w:id="1788428870">
                                                          <w:marLeft w:val="0"/>
                                                          <w:marRight w:val="0"/>
                                                          <w:marTop w:val="0"/>
                                                          <w:marBottom w:val="0"/>
                                                          <w:divBdr>
                                                            <w:top w:val="single" w:sz="6" w:space="0" w:color="ABABAB"/>
                                                            <w:left w:val="single" w:sz="6" w:space="0" w:color="ABABAB"/>
                                                            <w:bottom w:val="single" w:sz="6" w:space="0" w:color="ABABAB"/>
                                                            <w:right w:val="single" w:sz="6" w:space="0" w:color="ABABAB"/>
                                                          </w:divBdr>
                                                          <w:divsChild>
                                                            <w:div w:id="555121228">
                                                              <w:marLeft w:val="0"/>
                                                              <w:marRight w:val="0"/>
                                                              <w:marTop w:val="0"/>
                                                              <w:marBottom w:val="0"/>
                                                              <w:divBdr>
                                                                <w:top w:val="none" w:sz="0" w:space="0" w:color="auto"/>
                                                                <w:left w:val="none" w:sz="0" w:space="0" w:color="auto"/>
                                                                <w:bottom w:val="none" w:sz="0" w:space="0" w:color="auto"/>
                                                                <w:right w:val="none" w:sz="0" w:space="0" w:color="auto"/>
                                                              </w:divBdr>
                                                              <w:divsChild>
                                                                <w:div w:id="711267160">
                                                                  <w:marLeft w:val="0"/>
                                                                  <w:marRight w:val="0"/>
                                                                  <w:marTop w:val="0"/>
                                                                  <w:marBottom w:val="0"/>
                                                                  <w:divBdr>
                                                                    <w:top w:val="none" w:sz="0" w:space="0" w:color="auto"/>
                                                                    <w:left w:val="none" w:sz="0" w:space="0" w:color="auto"/>
                                                                    <w:bottom w:val="none" w:sz="0" w:space="0" w:color="auto"/>
                                                                    <w:right w:val="none" w:sz="0" w:space="0" w:color="auto"/>
                                                                  </w:divBdr>
                                                                  <w:divsChild>
                                                                    <w:div w:id="236287385">
                                                                      <w:marLeft w:val="0"/>
                                                                      <w:marRight w:val="0"/>
                                                                      <w:marTop w:val="0"/>
                                                                      <w:marBottom w:val="0"/>
                                                                      <w:divBdr>
                                                                        <w:top w:val="none" w:sz="0" w:space="0" w:color="auto"/>
                                                                        <w:left w:val="none" w:sz="0" w:space="0" w:color="auto"/>
                                                                        <w:bottom w:val="none" w:sz="0" w:space="0" w:color="auto"/>
                                                                        <w:right w:val="none" w:sz="0" w:space="0" w:color="auto"/>
                                                                      </w:divBdr>
                                                                      <w:divsChild>
                                                                        <w:div w:id="1590888852">
                                                                          <w:marLeft w:val="0"/>
                                                                          <w:marRight w:val="0"/>
                                                                          <w:marTop w:val="0"/>
                                                                          <w:marBottom w:val="0"/>
                                                                          <w:divBdr>
                                                                            <w:top w:val="none" w:sz="0" w:space="0" w:color="auto"/>
                                                                            <w:left w:val="none" w:sz="0" w:space="0" w:color="auto"/>
                                                                            <w:bottom w:val="none" w:sz="0" w:space="0" w:color="auto"/>
                                                                            <w:right w:val="none" w:sz="0" w:space="0" w:color="auto"/>
                                                                          </w:divBdr>
                                                                          <w:divsChild>
                                                                            <w:div w:id="160852358">
                                                                              <w:marLeft w:val="0"/>
                                                                              <w:marRight w:val="0"/>
                                                                              <w:marTop w:val="0"/>
                                                                              <w:marBottom w:val="0"/>
                                                                              <w:divBdr>
                                                                                <w:top w:val="none" w:sz="0" w:space="0" w:color="auto"/>
                                                                                <w:left w:val="none" w:sz="0" w:space="0" w:color="auto"/>
                                                                                <w:bottom w:val="none" w:sz="0" w:space="0" w:color="auto"/>
                                                                                <w:right w:val="none" w:sz="0" w:space="0" w:color="auto"/>
                                                                              </w:divBdr>
                                                                              <w:divsChild>
                                                                                <w:div w:id="735206036">
                                                                                  <w:marLeft w:val="0"/>
                                                                                  <w:marRight w:val="0"/>
                                                                                  <w:marTop w:val="0"/>
                                                                                  <w:marBottom w:val="0"/>
                                                                                  <w:divBdr>
                                                                                    <w:top w:val="none" w:sz="0" w:space="0" w:color="auto"/>
                                                                                    <w:left w:val="none" w:sz="0" w:space="0" w:color="auto"/>
                                                                                    <w:bottom w:val="none" w:sz="0" w:space="0" w:color="auto"/>
                                                                                    <w:right w:val="none" w:sz="0" w:space="0" w:color="auto"/>
                                                                                  </w:divBdr>
                                                                                  <w:divsChild>
                                                                                    <w:div w:id="2042822834">
                                                                                      <w:marLeft w:val="0"/>
                                                                                      <w:marRight w:val="0"/>
                                                                                      <w:marTop w:val="0"/>
                                                                                      <w:marBottom w:val="0"/>
                                                                                      <w:divBdr>
                                                                                        <w:top w:val="none" w:sz="0" w:space="0" w:color="auto"/>
                                                                                        <w:left w:val="none" w:sz="0" w:space="0" w:color="auto"/>
                                                                                        <w:bottom w:val="none" w:sz="0" w:space="0" w:color="auto"/>
                                                                                        <w:right w:val="none" w:sz="0" w:space="0" w:color="auto"/>
                                                                                      </w:divBdr>
                                                                                      <w:divsChild>
                                                                                        <w:div w:id="137338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7972236">
      <w:bodyDiv w:val="1"/>
      <w:marLeft w:val="0"/>
      <w:marRight w:val="0"/>
      <w:marTop w:val="0"/>
      <w:marBottom w:val="0"/>
      <w:divBdr>
        <w:top w:val="none" w:sz="0" w:space="0" w:color="auto"/>
        <w:left w:val="none" w:sz="0" w:space="0" w:color="auto"/>
        <w:bottom w:val="none" w:sz="0" w:space="0" w:color="auto"/>
        <w:right w:val="none" w:sz="0" w:space="0" w:color="auto"/>
      </w:divBdr>
    </w:div>
    <w:div w:id="1364162916">
      <w:bodyDiv w:val="1"/>
      <w:marLeft w:val="0"/>
      <w:marRight w:val="0"/>
      <w:marTop w:val="0"/>
      <w:marBottom w:val="0"/>
      <w:divBdr>
        <w:top w:val="none" w:sz="0" w:space="0" w:color="auto"/>
        <w:left w:val="none" w:sz="0" w:space="0" w:color="auto"/>
        <w:bottom w:val="none" w:sz="0" w:space="0" w:color="auto"/>
        <w:right w:val="none" w:sz="0" w:space="0" w:color="auto"/>
      </w:divBdr>
    </w:div>
    <w:div w:id="1373311124">
      <w:bodyDiv w:val="1"/>
      <w:marLeft w:val="0"/>
      <w:marRight w:val="0"/>
      <w:marTop w:val="0"/>
      <w:marBottom w:val="0"/>
      <w:divBdr>
        <w:top w:val="none" w:sz="0" w:space="0" w:color="auto"/>
        <w:left w:val="none" w:sz="0" w:space="0" w:color="auto"/>
        <w:bottom w:val="none" w:sz="0" w:space="0" w:color="auto"/>
        <w:right w:val="none" w:sz="0" w:space="0" w:color="auto"/>
      </w:divBdr>
    </w:div>
    <w:div w:id="1380007751">
      <w:bodyDiv w:val="1"/>
      <w:marLeft w:val="0"/>
      <w:marRight w:val="0"/>
      <w:marTop w:val="0"/>
      <w:marBottom w:val="0"/>
      <w:divBdr>
        <w:top w:val="none" w:sz="0" w:space="0" w:color="auto"/>
        <w:left w:val="none" w:sz="0" w:space="0" w:color="auto"/>
        <w:bottom w:val="none" w:sz="0" w:space="0" w:color="auto"/>
        <w:right w:val="none" w:sz="0" w:space="0" w:color="auto"/>
      </w:divBdr>
    </w:div>
    <w:div w:id="1390567566">
      <w:bodyDiv w:val="1"/>
      <w:marLeft w:val="0"/>
      <w:marRight w:val="0"/>
      <w:marTop w:val="0"/>
      <w:marBottom w:val="0"/>
      <w:divBdr>
        <w:top w:val="none" w:sz="0" w:space="0" w:color="auto"/>
        <w:left w:val="none" w:sz="0" w:space="0" w:color="auto"/>
        <w:bottom w:val="none" w:sz="0" w:space="0" w:color="auto"/>
        <w:right w:val="none" w:sz="0" w:space="0" w:color="auto"/>
      </w:divBdr>
    </w:div>
    <w:div w:id="1404644479">
      <w:bodyDiv w:val="1"/>
      <w:marLeft w:val="0"/>
      <w:marRight w:val="0"/>
      <w:marTop w:val="0"/>
      <w:marBottom w:val="0"/>
      <w:divBdr>
        <w:top w:val="none" w:sz="0" w:space="0" w:color="auto"/>
        <w:left w:val="none" w:sz="0" w:space="0" w:color="auto"/>
        <w:bottom w:val="none" w:sz="0" w:space="0" w:color="auto"/>
        <w:right w:val="none" w:sz="0" w:space="0" w:color="auto"/>
      </w:divBdr>
    </w:div>
    <w:div w:id="1406681065">
      <w:bodyDiv w:val="1"/>
      <w:marLeft w:val="0"/>
      <w:marRight w:val="0"/>
      <w:marTop w:val="0"/>
      <w:marBottom w:val="0"/>
      <w:divBdr>
        <w:top w:val="none" w:sz="0" w:space="0" w:color="auto"/>
        <w:left w:val="none" w:sz="0" w:space="0" w:color="auto"/>
        <w:bottom w:val="none" w:sz="0" w:space="0" w:color="auto"/>
        <w:right w:val="none" w:sz="0" w:space="0" w:color="auto"/>
      </w:divBdr>
    </w:div>
    <w:div w:id="1418096957">
      <w:bodyDiv w:val="1"/>
      <w:marLeft w:val="0"/>
      <w:marRight w:val="0"/>
      <w:marTop w:val="0"/>
      <w:marBottom w:val="0"/>
      <w:divBdr>
        <w:top w:val="none" w:sz="0" w:space="0" w:color="auto"/>
        <w:left w:val="none" w:sz="0" w:space="0" w:color="auto"/>
        <w:bottom w:val="none" w:sz="0" w:space="0" w:color="auto"/>
        <w:right w:val="none" w:sz="0" w:space="0" w:color="auto"/>
      </w:divBdr>
    </w:div>
    <w:div w:id="1421288686">
      <w:bodyDiv w:val="1"/>
      <w:marLeft w:val="0"/>
      <w:marRight w:val="0"/>
      <w:marTop w:val="0"/>
      <w:marBottom w:val="0"/>
      <w:divBdr>
        <w:top w:val="none" w:sz="0" w:space="0" w:color="auto"/>
        <w:left w:val="none" w:sz="0" w:space="0" w:color="auto"/>
        <w:bottom w:val="none" w:sz="0" w:space="0" w:color="auto"/>
        <w:right w:val="none" w:sz="0" w:space="0" w:color="auto"/>
      </w:divBdr>
    </w:div>
    <w:div w:id="1435008086">
      <w:bodyDiv w:val="1"/>
      <w:marLeft w:val="0"/>
      <w:marRight w:val="0"/>
      <w:marTop w:val="0"/>
      <w:marBottom w:val="0"/>
      <w:divBdr>
        <w:top w:val="none" w:sz="0" w:space="0" w:color="auto"/>
        <w:left w:val="none" w:sz="0" w:space="0" w:color="auto"/>
        <w:bottom w:val="none" w:sz="0" w:space="0" w:color="auto"/>
        <w:right w:val="none" w:sz="0" w:space="0" w:color="auto"/>
      </w:divBdr>
    </w:div>
    <w:div w:id="1438063939">
      <w:bodyDiv w:val="1"/>
      <w:marLeft w:val="0"/>
      <w:marRight w:val="0"/>
      <w:marTop w:val="0"/>
      <w:marBottom w:val="0"/>
      <w:divBdr>
        <w:top w:val="none" w:sz="0" w:space="0" w:color="auto"/>
        <w:left w:val="none" w:sz="0" w:space="0" w:color="auto"/>
        <w:bottom w:val="none" w:sz="0" w:space="0" w:color="auto"/>
        <w:right w:val="none" w:sz="0" w:space="0" w:color="auto"/>
      </w:divBdr>
    </w:div>
    <w:div w:id="1443303312">
      <w:bodyDiv w:val="1"/>
      <w:marLeft w:val="0"/>
      <w:marRight w:val="0"/>
      <w:marTop w:val="0"/>
      <w:marBottom w:val="0"/>
      <w:divBdr>
        <w:top w:val="none" w:sz="0" w:space="0" w:color="auto"/>
        <w:left w:val="none" w:sz="0" w:space="0" w:color="auto"/>
        <w:bottom w:val="none" w:sz="0" w:space="0" w:color="auto"/>
        <w:right w:val="none" w:sz="0" w:space="0" w:color="auto"/>
      </w:divBdr>
    </w:div>
    <w:div w:id="1449274578">
      <w:bodyDiv w:val="1"/>
      <w:marLeft w:val="0"/>
      <w:marRight w:val="0"/>
      <w:marTop w:val="0"/>
      <w:marBottom w:val="0"/>
      <w:divBdr>
        <w:top w:val="none" w:sz="0" w:space="0" w:color="auto"/>
        <w:left w:val="none" w:sz="0" w:space="0" w:color="auto"/>
        <w:bottom w:val="none" w:sz="0" w:space="0" w:color="auto"/>
        <w:right w:val="none" w:sz="0" w:space="0" w:color="auto"/>
      </w:divBdr>
    </w:div>
    <w:div w:id="1452671930">
      <w:bodyDiv w:val="1"/>
      <w:marLeft w:val="0"/>
      <w:marRight w:val="0"/>
      <w:marTop w:val="0"/>
      <w:marBottom w:val="0"/>
      <w:divBdr>
        <w:top w:val="none" w:sz="0" w:space="0" w:color="auto"/>
        <w:left w:val="none" w:sz="0" w:space="0" w:color="auto"/>
        <w:bottom w:val="none" w:sz="0" w:space="0" w:color="auto"/>
        <w:right w:val="none" w:sz="0" w:space="0" w:color="auto"/>
      </w:divBdr>
    </w:div>
    <w:div w:id="1460146882">
      <w:bodyDiv w:val="1"/>
      <w:marLeft w:val="0"/>
      <w:marRight w:val="0"/>
      <w:marTop w:val="0"/>
      <w:marBottom w:val="0"/>
      <w:divBdr>
        <w:top w:val="none" w:sz="0" w:space="0" w:color="auto"/>
        <w:left w:val="none" w:sz="0" w:space="0" w:color="auto"/>
        <w:bottom w:val="none" w:sz="0" w:space="0" w:color="auto"/>
        <w:right w:val="none" w:sz="0" w:space="0" w:color="auto"/>
      </w:divBdr>
    </w:div>
    <w:div w:id="1460415455">
      <w:bodyDiv w:val="1"/>
      <w:marLeft w:val="0"/>
      <w:marRight w:val="0"/>
      <w:marTop w:val="0"/>
      <w:marBottom w:val="0"/>
      <w:divBdr>
        <w:top w:val="none" w:sz="0" w:space="0" w:color="auto"/>
        <w:left w:val="none" w:sz="0" w:space="0" w:color="auto"/>
        <w:bottom w:val="none" w:sz="0" w:space="0" w:color="auto"/>
        <w:right w:val="none" w:sz="0" w:space="0" w:color="auto"/>
      </w:divBdr>
    </w:div>
    <w:div w:id="1460951907">
      <w:bodyDiv w:val="1"/>
      <w:marLeft w:val="0"/>
      <w:marRight w:val="0"/>
      <w:marTop w:val="0"/>
      <w:marBottom w:val="0"/>
      <w:divBdr>
        <w:top w:val="none" w:sz="0" w:space="0" w:color="auto"/>
        <w:left w:val="none" w:sz="0" w:space="0" w:color="auto"/>
        <w:bottom w:val="none" w:sz="0" w:space="0" w:color="auto"/>
        <w:right w:val="none" w:sz="0" w:space="0" w:color="auto"/>
      </w:divBdr>
    </w:div>
    <w:div w:id="1463115510">
      <w:bodyDiv w:val="1"/>
      <w:marLeft w:val="0"/>
      <w:marRight w:val="0"/>
      <w:marTop w:val="0"/>
      <w:marBottom w:val="0"/>
      <w:divBdr>
        <w:top w:val="none" w:sz="0" w:space="0" w:color="auto"/>
        <w:left w:val="none" w:sz="0" w:space="0" w:color="auto"/>
        <w:bottom w:val="none" w:sz="0" w:space="0" w:color="auto"/>
        <w:right w:val="none" w:sz="0" w:space="0" w:color="auto"/>
      </w:divBdr>
    </w:div>
    <w:div w:id="1471241117">
      <w:bodyDiv w:val="1"/>
      <w:marLeft w:val="0"/>
      <w:marRight w:val="0"/>
      <w:marTop w:val="0"/>
      <w:marBottom w:val="0"/>
      <w:divBdr>
        <w:top w:val="none" w:sz="0" w:space="0" w:color="auto"/>
        <w:left w:val="none" w:sz="0" w:space="0" w:color="auto"/>
        <w:bottom w:val="none" w:sz="0" w:space="0" w:color="auto"/>
        <w:right w:val="none" w:sz="0" w:space="0" w:color="auto"/>
      </w:divBdr>
    </w:div>
    <w:div w:id="1471941112">
      <w:bodyDiv w:val="1"/>
      <w:marLeft w:val="0"/>
      <w:marRight w:val="0"/>
      <w:marTop w:val="0"/>
      <w:marBottom w:val="0"/>
      <w:divBdr>
        <w:top w:val="none" w:sz="0" w:space="0" w:color="auto"/>
        <w:left w:val="none" w:sz="0" w:space="0" w:color="auto"/>
        <w:bottom w:val="none" w:sz="0" w:space="0" w:color="auto"/>
        <w:right w:val="none" w:sz="0" w:space="0" w:color="auto"/>
      </w:divBdr>
    </w:div>
    <w:div w:id="1482456875">
      <w:bodyDiv w:val="1"/>
      <w:marLeft w:val="0"/>
      <w:marRight w:val="0"/>
      <w:marTop w:val="0"/>
      <w:marBottom w:val="0"/>
      <w:divBdr>
        <w:top w:val="none" w:sz="0" w:space="0" w:color="auto"/>
        <w:left w:val="none" w:sz="0" w:space="0" w:color="auto"/>
        <w:bottom w:val="none" w:sz="0" w:space="0" w:color="auto"/>
        <w:right w:val="none" w:sz="0" w:space="0" w:color="auto"/>
      </w:divBdr>
    </w:div>
    <w:div w:id="1482847118">
      <w:bodyDiv w:val="1"/>
      <w:marLeft w:val="0"/>
      <w:marRight w:val="0"/>
      <w:marTop w:val="0"/>
      <w:marBottom w:val="0"/>
      <w:divBdr>
        <w:top w:val="none" w:sz="0" w:space="0" w:color="auto"/>
        <w:left w:val="none" w:sz="0" w:space="0" w:color="auto"/>
        <w:bottom w:val="none" w:sz="0" w:space="0" w:color="auto"/>
        <w:right w:val="none" w:sz="0" w:space="0" w:color="auto"/>
      </w:divBdr>
    </w:div>
    <w:div w:id="1487167786">
      <w:bodyDiv w:val="1"/>
      <w:marLeft w:val="0"/>
      <w:marRight w:val="0"/>
      <w:marTop w:val="0"/>
      <w:marBottom w:val="0"/>
      <w:divBdr>
        <w:top w:val="none" w:sz="0" w:space="0" w:color="auto"/>
        <w:left w:val="none" w:sz="0" w:space="0" w:color="auto"/>
        <w:bottom w:val="none" w:sz="0" w:space="0" w:color="auto"/>
        <w:right w:val="none" w:sz="0" w:space="0" w:color="auto"/>
      </w:divBdr>
    </w:div>
    <w:div w:id="1493175788">
      <w:bodyDiv w:val="1"/>
      <w:marLeft w:val="0"/>
      <w:marRight w:val="0"/>
      <w:marTop w:val="0"/>
      <w:marBottom w:val="0"/>
      <w:divBdr>
        <w:top w:val="none" w:sz="0" w:space="0" w:color="auto"/>
        <w:left w:val="none" w:sz="0" w:space="0" w:color="auto"/>
        <w:bottom w:val="none" w:sz="0" w:space="0" w:color="auto"/>
        <w:right w:val="none" w:sz="0" w:space="0" w:color="auto"/>
      </w:divBdr>
    </w:div>
    <w:div w:id="1499661577">
      <w:bodyDiv w:val="1"/>
      <w:marLeft w:val="0"/>
      <w:marRight w:val="0"/>
      <w:marTop w:val="0"/>
      <w:marBottom w:val="0"/>
      <w:divBdr>
        <w:top w:val="none" w:sz="0" w:space="0" w:color="auto"/>
        <w:left w:val="none" w:sz="0" w:space="0" w:color="auto"/>
        <w:bottom w:val="none" w:sz="0" w:space="0" w:color="auto"/>
        <w:right w:val="none" w:sz="0" w:space="0" w:color="auto"/>
      </w:divBdr>
    </w:div>
    <w:div w:id="1505633270">
      <w:bodyDiv w:val="1"/>
      <w:marLeft w:val="0"/>
      <w:marRight w:val="0"/>
      <w:marTop w:val="0"/>
      <w:marBottom w:val="0"/>
      <w:divBdr>
        <w:top w:val="none" w:sz="0" w:space="0" w:color="auto"/>
        <w:left w:val="none" w:sz="0" w:space="0" w:color="auto"/>
        <w:bottom w:val="none" w:sz="0" w:space="0" w:color="auto"/>
        <w:right w:val="none" w:sz="0" w:space="0" w:color="auto"/>
      </w:divBdr>
    </w:div>
    <w:div w:id="1508442401">
      <w:bodyDiv w:val="1"/>
      <w:marLeft w:val="0"/>
      <w:marRight w:val="0"/>
      <w:marTop w:val="0"/>
      <w:marBottom w:val="0"/>
      <w:divBdr>
        <w:top w:val="none" w:sz="0" w:space="0" w:color="auto"/>
        <w:left w:val="none" w:sz="0" w:space="0" w:color="auto"/>
        <w:bottom w:val="none" w:sz="0" w:space="0" w:color="auto"/>
        <w:right w:val="none" w:sz="0" w:space="0" w:color="auto"/>
      </w:divBdr>
    </w:div>
    <w:div w:id="1511988706">
      <w:bodyDiv w:val="1"/>
      <w:marLeft w:val="0"/>
      <w:marRight w:val="0"/>
      <w:marTop w:val="0"/>
      <w:marBottom w:val="0"/>
      <w:divBdr>
        <w:top w:val="none" w:sz="0" w:space="0" w:color="auto"/>
        <w:left w:val="none" w:sz="0" w:space="0" w:color="auto"/>
        <w:bottom w:val="none" w:sz="0" w:space="0" w:color="auto"/>
        <w:right w:val="none" w:sz="0" w:space="0" w:color="auto"/>
      </w:divBdr>
    </w:div>
    <w:div w:id="1521505315">
      <w:bodyDiv w:val="1"/>
      <w:marLeft w:val="0"/>
      <w:marRight w:val="0"/>
      <w:marTop w:val="0"/>
      <w:marBottom w:val="0"/>
      <w:divBdr>
        <w:top w:val="none" w:sz="0" w:space="0" w:color="auto"/>
        <w:left w:val="none" w:sz="0" w:space="0" w:color="auto"/>
        <w:bottom w:val="none" w:sz="0" w:space="0" w:color="auto"/>
        <w:right w:val="none" w:sz="0" w:space="0" w:color="auto"/>
      </w:divBdr>
    </w:div>
    <w:div w:id="1530797223">
      <w:bodyDiv w:val="1"/>
      <w:marLeft w:val="0"/>
      <w:marRight w:val="0"/>
      <w:marTop w:val="0"/>
      <w:marBottom w:val="0"/>
      <w:divBdr>
        <w:top w:val="none" w:sz="0" w:space="0" w:color="auto"/>
        <w:left w:val="none" w:sz="0" w:space="0" w:color="auto"/>
        <w:bottom w:val="none" w:sz="0" w:space="0" w:color="auto"/>
        <w:right w:val="none" w:sz="0" w:space="0" w:color="auto"/>
      </w:divBdr>
    </w:div>
    <w:div w:id="1542739648">
      <w:bodyDiv w:val="1"/>
      <w:marLeft w:val="0"/>
      <w:marRight w:val="0"/>
      <w:marTop w:val="0"/>
      <w:marBottom w:val="0"/>
      <w:divBdr>
        <w:top w:val="none" w:sz="0" w:space="0" w:color="auto"/>
        <w:left w:val="none" w:sz="0" w:space="0" w:color="auto"/>
        <w:bottom w:val="none" w:sz="0" w:space="0" w:color="auto"/>
        <w:right w:val="none" w:sz="0" w:space="0" w:color="auto"/>
      </w:divBdr>
    </w:div>
    <w:div w:id="1568682528">
      <w:bodyDiv w:val="1"/>
      <w:marLeft w:val="0"/>
      <w:marRight w:val="0"/>
      <w:marTop w:val="0"/>
      <w:marBottom w:val="0"/>
      <w:divBdr>
        <w:top w:val="none" w:sz="0" w:space="0" w:color="auto"/>
        <w:left w:val="none" w:sz="0" w:space="0" w:color="auto"/>
        <w:bottom w:val="none" w:sz="0" w:space="0" w:color="auto"/>
        <w:right w:val="none" w:sz="0" w:space="0" w:color="auto"/>
      </w:divBdr>
    </w:div>
    <w:div w:id="1569531386">
      <w:bodyDiv w:val="1"/>
      <w:marLeft w:val="0"/>
      <w:marRight w:val="0"/>
      <w:marTop w:val="0"/>
      <w:marBottom w:val="0"/>
      <w:divBdr>
        <w:top w:val="none" w:sz="0" w:space="0" w:color="auto"/>
        <w:left w:val="none" w:sz="0" w:space="0" w:color="auto"/>
        <w:bottom w:val="none" w:sz="0" w:space="0" w:color="auto"/>
        <w:right w:val="none" w:sz="0" w:space="0" w:color="auto"/>
      </w:divBdr>
    </w:div>
    <w:div w:id="1581256022">
      <w:bodyDiv w:val="1"/>
      <w:marLeft w:val="0"/>
      <w:marRight w:val="0"/>
      <w:marTop w:val="0"/>
      <w:marBottom w:val="0"/>
      <w:divBdr>
        <w:top w:val="none" w:sz="0" w:space="0" w:color="auto"/>
        <w:left w:val="none" w:sz="0" w:space="0" w:color="auto"/>
        <w:bottom w:val="none" w:sz="0" w:space="0" w:color="auto"/>
        <w:right w:val="none" w:sz="0" w:space="0" w:color="auto"/>
      </w:divBdr>
    </w:div>
    <w:div w:id="1585608006">
      <w:bodyDiv w:val="1"/>
      <w:marLeft w:val="0"/>
      <w:marRight w:val="0"/>
      <w:marTop w:val="0"/>
      <w:marBottom w:val="0"/>
      <w:divBdr>
        <w:top w:val="none" w:sz="0" w:space="0" w:color="auto"/>
        <w:left w:val="none" w:sz="0" w:space="0" w:color="auto"/>
        <w:bottom w:val="none" w:sz="0" w:space="0" w:color="auto"/>
        <w:right w:val="none" w:sz="0" w:space="0" w:color="auto"/>
      </w:divBdr>
    </w:div>
    <w:div w:id="1586845292">
      <w:bodyDiv w:val="1"/>
      <w:marLeft w:val="0"/>
      <w:marRight w:val="0"/>
      <w:marTop w:val="0"/>
      <w:marBottom w:val="0"/>
      <w:divBdr>
        <w:top w:val="none" w:sz="0" w:space="0" w:color="auto"/>
        <w:left w:val="none" w:sz="0" w:space="0" w:color="auto"/>
        <w:bottom w:val="none" w:sz="0" w:space="0" w:color="auto"/>
        <w:right w:val="none" w:sz="0" w:space="0" w:color="auto"/>
      </w:divBdr>
    </w:div>
    <w:div w:id="1587882523">
      <w:bodyDiv w:val="1"/>
      <w:marLeft w:val="0"/>
      <w:marRight w:val="0"/>
      <w:marTop w:val="0"/>
      <w:marBottom w:val="0"/>
      <w:divBdr>
        <w:top w:val="none" w:sz="0" w:space="0" w:color="auto"/>
        <w:left w:val="none" w:sz="0" w:space="0" w:color="auto"/>
        <w:bottom w:val="none" w:sz="0" w:space="0" w:color="auto"/>
        <w:right w:val="none" w:sz="0" w:space="0" w:color="auto"/>
      </w:divBdr>
    </w:div>
    <w:div w:id="1589608188">
      <w:bodyDiv w:val="1"/>
      <w:marLeft w:val="0"/>
      <w:marRight w:val="0"/>
      <w:marTop w:val="0"/>
      <w:marBottom w:val="0"/>
      <w:divBdr>
        <w:top w:val="none" w:sz="0" w:space="0" w:color="auto"/>
        <w:left w:val="none" w:sz="0" w:space="0" w:color="auto"/>
        <w:bottom w:val="none" w:sz="0" w:space="0" w:color="auto"/>
        <w:right w:val="none" w:sz="0" w:space="0" w:color="auto"/>
      </w:divBdr>
    </w:div>
    <w:div w:id="1597010111">
      <w:bodyDiv w:val="1"/>
      <w:marLeft w:val="0"/>
      <w:marRight w:val="0"/>
      <w:marTop w:val="0"/>
      <w:marBottom w:val="0"/>
      <w:divBdr>
        <w:top w:val="none" w:sz="0" w:space="0" w:color="auto"/>
        <w:left w:val="none" w:sz="0" w:space="0" w:color="auto"/>
        <w:bottom w:val="none" w:sz="0" w:space="0" w:color="auto"/>
        <w:right w:val="none" w:sz="0" w:space="0" w:color="auto"/>
      </w:divBdr>
    </w:div>
    <w:div w:id="1605108665">
      <w:bodyDiv w:val="1"/>
      <w:marLeft w:val="0"/>
      <w:marRight w:val="0"/>
      <w:marTop w:val="0"/>
      <w:marBottom w:val="0"/>
      <w:divBdr>
        <w:top w:val="none" w:sz="0" w:space="0" w:color="auto"/>
        <w:left w:val="none" w:sz="0" w:space="0" w:color="auto"/>
        <w:bottom w:val="none" w:sz="0" w:space="0" w:color="auto"/>
        <w:right w:val="none" w:sz="0" w:space="0" w:color="auto"/>
      </w:divBdr>
    </w:div>
    <w:div w:id="1606646399">
      <w:bodyDiv w:val="1"/>
      <w:marLeft w:val="0"/>
      <w:marRight w:val="0"/>
      <w:marTop w:val="0"/>
      <w:marBottom w:val="0"/>
      <w:divBdr>
        <w:top w:val="none" w:sz="0" w:space="0" w:color="auto"/>
        <w:left w:val="none" w:sz="0" w:space="0" w:color="auto"/>
        <w:bottom w:val="none" w:sz="0" w:space="0" w:color="auto"/>
        <w:right w:val="none" w:sz="0" w:space="0" w:color="auto"/>
      </w:divBdr>
    </w:div>
    <w:div w:id="1607150408">
      <w:bodyDiv w:val="1"/>
      <w:marLeft w:val="0"/>
      <w:marRight w:val="0"/>
      <w:marTop w:val="0"/>
      <w:marBottom w:val="0"/>
      <w:divBdr>
        <w:top w:val="none" w:sz="0" w:space="0" w:color="auto"/>
        <w:left w:val="none" w:sz="0" w:space="0" w:color="auto"/>
        <w:bottom w:val="none" w:sz="0" w:space="0" w:color="auto"/>
        <w:right w:val="none" w:sz="0" w:space="0" w:color="auto"/>
      </w:divBdr>
    </w:div>
    <w:div w:id="1622415611">
      <w:bodyDiv w:val="1"/>
      <w:marLeft w:val="0"/>
      <w:marRight w:val="0"/>
      <w:marTop w:val="0"/>
      <w:marBottom w:val="0"/>
      <w:divBdr>
        <w:top w:val="none" w:sz="0" w:space="0" w:color="auto"/>
        <w:left w:val="none" w:sz="0" w:space="0" w:color="auto"/>
        <w:bottom w:val="none" w:sz="0" w:space="0" w:color="auto"/>
        <w:right w:val="none" w:sz="0" w:space="0" w:color="auto"/>
      </w:divBdr>
    </w:div>
    <w:div w:id="1627008449">
      <w:bodyDiv w:val="1"/>
      <w:marLeft w:val="0"/>
      <w:marRight w:val="0"/>
      <w:marTop w:val="0"/>
      <w:marBottom w:val="0"/>
      <w:divBdr>
        <w:top w:val="none" w:sz="0" w:space="0" w:color="auto"/>
        <w:left w:val="none" w:sz="0" w:space="0" w:color="auto"/>
        <w:bottom w:val="none" w:sz="0" w:space="0" w:color="auto"/>
        <w:right w:val="none" w:sz="0" w:space="0" w:color="auto"/>
      </w:divBdr>
    </w:div>
    <w:div w:id="1631014891">
      <w:bodyDiv w:val="1"/>
      <w:marLeft w:val="0"/>
      <w:marRight w:val="0"/>
      <w:marTop w:val="0"/>
      <w:marBottom w:val="0"/>
      <w:divBdr>
        <w:top w:val="none" w:sz="0" w:space="0" w:color="auto"/>
        <w:left w:val="none" w:sz="0" w:space="0" w:color="auto"/>
        <w:bottom w:val="none" w:sz="0" w:space="0" w:color="auto"/>
        <w:right w:val="none" w:sz="0" w:space="0" w:color="auto"/>
      </w:divBdr>
    </w:div>
    <w:div w:id="1632174092">
      <w:bodyDiv w:val="1"/>
      <w:marLeft w:val="0"/>
      <w:marRight w:val="0"/>
      <w:marTop w:val="0"/>
      <w:marBottom w:val="0"/>
      <w:divBdr>
        <w:top w:val="none" w:sz="0" w:space="0" w:color="auto"/>
        <w:left w:val="none" w:sz="0" w:space="0" w:color="auto"/>
        <w:bottom w:val="none" w:sz="0" w:space="0" w:color="auto"/>
        <w:right w:val="none" w:sz="0" w:space="0" w:color="auto"/>
      </w:divBdr>
    </w:div>
    <w:div w:id="1640570021">
      <w:bodyDiv w:val="1"/>
      <w:marLeft w:val="0"/>
      <w:marRight w:val="0"/>
      <w:marTop w:val="0"/>
      <w:marBottom w:val="0"/>
      <w:divBdr>
        <w:top w:val="none" w:sz="0" w:space="0" w:color="auto"/>
        <w:left w:val="none" w:sz="0" w:space="0" w:color="auto"/>
        <w:bottom w:val="none" w:sz="0" w:space="0" w:color="auto"/>
        <w:right w:val="none" w:sz="0" w:space="0" w:color="auto"/>
      </w:divBdr>
    </w:div>
    <w:div w:id="1643926825">
      <w:bodyDiv w:val="1"/>
      <w:marLeft w:val="0"/>
      <w:marRight w:val="0"/>
      <w:marTop w:val="0"/>
      <w:marBottom w:val="0"/>
      <w:divBdr>
        <w:top w:val="none" w:sz="0" w:space="0" w:color="auto"/>
        <w:left w:val="none" w:sz="0" w:space="0" w:color="auto"/>
        <w:bottom w:val="none" w:sz="0" w:space="0" w:color="auto"/>
        <w:right w:val="none" w:sz="0" w:space="0" w:color="auto"/>
      </w:divBdr>
    </w:div>
    <w:div w:id="1652251872">
      <w:bodyDiv w:val="1"/>
      <w:marLeft w:val="0"/>
      <w:marRight w:val="0"/>
      <w:marTop w:val="0"/>
      <w:marBottom w:val="0"/>
      <w:divBdr>
        <w:top w:val="none" w:sz="0" w:space="0" w:color="auto"/>
        <w:left w:val="none" w:sz="0" w:space="0" w:color="auto"/>
        <w:bottom w:val="none" w:sz="0" w:space="0" w:color="auto"/>
        <w:right w:val="none" w:sz="0" w:space="0" w:color="auto"/>
      </w:divBdr>
    </w:div>
    <w:div w:id="1659576315">
      <w:bodyDiv w:val="1"/>
      <w:marLeft w:val="0"/>
      <w:marRight w:val="0"/>
      <w:marTop w:val="0"/>
      <w:marBottom w:val="0"/>
      <w:divBdr>
        <w:top w:val="none" w:sz="0" w:space="0" w:color="auto"/>
        <w:left w:val="none" w:sz="0" w:space="0" w:color="auto"/>
        <w:bottom w:val="none" w:sz="0" w:space="0" w:color="auto"/>
        <w:right w:val="none" w:sz="0" w:space="0" w:color="auto"/>
      </w:divBdr>
    </w:div>
    <w:div w:id="1664384462">
      <w:bodyDiv w:val="1"/>
      <w:marLeft w:val="0"/>
      <w:marRight w:val="0"/>
      <w:marTop w:val="0"/>
      <w:marBottom w:val="0"/>
      <w:divBdr>
        <w:top w:val="none" w:sz="0" w:space="0" w:color="auto"/>
        <w:left w:val="none" w:sz="0" w:space="0" w:color="auto"/>
        <w:bottom w:val="none" w:sz="0" w:space="0" w:color="auto"/>
        <w:right w:val="none" w:sz="0" w:space="0" w:color="auto"/>
      </w:divBdr>
    </w:div>
    <w:div w:id="1672634063">
      <w:bodyDiv w:val="1"/>
      <w:marLeft w:val="0"/>
      <w:marRight w:val="0"/>
      <w:marTop w:val="0"/>
      <w:marBottom w:val="0"/>
      <w:divBdr>
        <w:top w:val="none" w:sz="0" w:space="0" w:color="auto"/>
        <w:left w:val="none" w:sz="0" w:space="0" w:color="auto"/>
        <w:bottom w:val="none" w:sz="0" w:space="0" w:color="auto"/>
        <w:right w:val="none" w:sz="0" w:space="0" w:color="auto"/>
      </w:divBdr>
    </w:div>
    <w:div w:id="1674338940">
      <w:bodyDiv w:val="1"/>
      <w:marLeft w:val="0"/>
      <w:marRight w:val="0"/>
      <w:marTop w:val="0"/>
      <w:marBottom w:val="0"/>
      <w:divBdr>
        <w:top w:val="none" w:sz="0" w:space="0" w:color="auto"/>
        <w:left w:val="none" w:sz="0" w:space="0" w:color="auto"/>
        <w:bottom w:val="none" w:sz="0" w:space="0" w:color="auto"/>
        <w:right w:val="none" w:sz="0" w:space="0" w:color="auto"/>
      </w:divBdr>
      <w:divsChild>
        <w:div w:id="358120131">
          <w:marLeft w:val="0"/>
          <w:marRight w:val="0"/>
          <w:marTop w:val="0"/>
          <w:marBottom w:val="0"/>
          <w:divBdr>
            <w:top w:val="none" w:sz="0" w:space="0" w:color="auto"/>
            <w:left w:val="none" w:sz="0" w:space="0" w:color="auto"/>
            <w:bottom w:val="none" w:sz="0" w:space="0" w:color="auto"/>
            <w:right w:val="none" w:sz="0" w:space="0" w:color="auto"/>
          </w:divBdr>
        </w:div>
        <w:div w:id="432359181">
          <w:marLeft w:val="0"/>
          <w:marRight w:val="0"/>
          <w:marTop w:val="0"/>
          <w:marBottom w:val="0"/>
          <w:divBdr>
            <w:top w:val="none" w:sz="0" w:space="0" w:color="auto"/>
            <w:left w:val="none" w:sz="0" w:space="0" w:color="auto"/>
            <w:bottom w:val="none" w:sz="0" w:space="0" w:color="auto"/>
            <w:right w:val="none" w:sz="0" w:space="0" w:color="auto"/>
          </w:divBdr>
        </w:div>
        <w:div w:id="434403543">
          <w:marLeft w:val="0"/>
          <w:marRight w:val="0"/>
          <w:marTop w:val="0"/>
          <w:marBottom w:val="0"/>
          <w:divBdr>
            <w:top w:val="none" w:sz="0" w:space="0" w:color="auto"/>
            <w:left w:val="none" w:sz="0" w:space="0" w:color="auto"/>
            <w:bottom w:val="none" w:sz="0" w:space="0" w:color="auto"/>
            <w:right w:val="none" w:sz="0" w:space="0" w:color="auto"/>
          </w:divBdr>
        </w:div>
        <w:div w:id="710150573">
          <w:marLeft w:val="0"/>
          <w:marRight w:val="0"/>
          <w:marTop w:val="0"/>
          <w:marBottom w:val="0"/>
          <w:divBdr>
            <w:top w:val="none" w:sz="0" w:space="0" w:color="auto"/>
            <w:left w:val="none" w:sz="0" w:space="0" w:color="auto"/>
            <w:bottom w:val="none" w:sz="0" w:space="0" w:color="auto"/>
            <w:right w:val="none" w:sz="0" w:space="0" w:color="auto"/>
          </w:divBdr>
        </w:div>
        <w:div w:id="906183525">
          <w:marLeft w:val="0"/>
          <w:marRight w:val="0"/>
          <w:marTop w:val="0"/>
          <w:marBottom w:val="0"/>
          <w:divBdr>
            <w:top w:val="none" w:sz="0" w:space="0" w:color="auto"/>
            <w:left w:val="none" w:sz="0" w:space="0" w:color="auto"/>
            <w:bottom w:val="none" w:sz="0" w:space="0" w:color="auto"/>
            <w:right w:val="none" w:sz="0" w:space="0" w:color="auto"/>
          </w:divBdr>
        </w:div>
        <w:div w:id="1310331382">
          <w:marLeft w:val="0"/>
          <w:marRight w:val="0"/>
          <w:marTop w:val="0"/>
          <w:marBottom w:val="0"/>
          <w:divBdr>
            <w:top w:val="none" w:sz="0" w:space="0" w:color="auto"/>
            <w:left w:val="none" w:sz="0" w:space="0" w:color="auto"/>
            <w:bottom w:val="none" w:sz="0" w:space="0" w:color="auto"/>
            <w:right w:val="none" w:sz="0" w:space="0" w:color="auto"/>
          </w:divBdr>
        </w:div>
        <w:div w:id="1976643858">
          <w:marLeft w:val="0"/>
          <w:marRight w:val="0"/>
          <w:marTop w:val="0"/>
          <w:marBottom w:val="0"/>
          <w:divBdr>
            <w:top w:val="none" w:sz="0" w:space="0" w:color="auto"/>
            <w:left w:val="none" w:sz="0" w:space="0" w:color="auto"/>
            <w:bottom w:val="none" w:sz="0" w:space="0" w:color="auto"/>
            <w:right w:val="none" w:sz="0" w:space="0" w:color="auto"/>
          </w:divBdr>
        </w:div>
      </w:divsChild>
    </w:div>
    <w:div w:id="1681423151">
      <w:bodyDiv w:val="1"/>
      <w:marLeft w:val="0"/>
      <w:marRight w:val="0"/>
      <w:marTop w:val="0"/>
      <w:marBottom w:val="0"/>
      <w:divBdr>
        <w:top w:val="none" w:sz="0" w:space="0" w:color="auto"/>
        <w:left w:val="none" w:sz="0" w:space="0" w:color="auto"/>
        <w:bottom w:val="none" w:sz="0" w:space="0" w:color="auto"/>
        <w:right w:val="none" w:sz="0" w:space="0" w:color="auto"/>
      </w:divBdr>
    </w:div>
    <w:div w:id="1682506008">
      <w:bodyDiv w:val="1"/>
      <w:marLeft w:val="0"/>
      <w:marRight w:val="0"/>
      <w:marTop w:val="0"/>
      <w:marBottom w:val="0"/>
      <w:divBdr>
        <w:top w:val="none" w:sz="0" w:space="0" w:color="auto"/>
        <w:left w:val="none" w:sz="0" w:space="0" w:color="auto"/>
        <w:bottom w:val="none" w:sz="0" w:space="0" w:color="auto"/>
        <w:right w:val="none" w:sz="0" w:space="0" w:color="auto"/>
      </w:divBdr>
      <w:divsChild>
        <w:div w:id="1183320034">
          <w:marLeft w:val="0"/>
          <w:marRight w:val="0"/>
          <w:marTop w:val="0"/>
          <w:marBottom w:val="0"/>
          <w:divBdr>
            <w:top w:val="none" w:sz="0" w:space="0" w:color="auto"/>
            <w:left w:val="none" w:sz="0" w:space="0" w:color="auto"/>
            <w:bottom w:val="none" w:sz="0" w:space="0" w:color="auto"/>
            <w:right w:val="none" w:sz="0" w:space="0" w:color="auto"/>
          </w:divBdr>
          <w:divsChild>
            <w:div w:id="656225272">
              <w:marLeft w:val="0"/>
              <w:marRight w:val="0"/>
              <w:marTop w:val="0"/>
              <w:marBottom w:val="0"/>
              <w:divBdr>
                <w:top w:val="none" w:sz="0" w:space="0" w:color="auto"/>
                <w:left w:val="none" w:sz="0" w:space="0" w:color="auto"/>
                <w:bottom w:val="none" w:sz="0" w:space="0" w:color="auto"/>
                <w:right w:val="none" w:sz="0" w:space="0" w:color="auto"/>
              </w:divBdr>
              <w:divsChild>
                <w:div w:id="345179721">
                  <w:marLeft w:val="0"/>
                  <w:marRight w:val="0"/>
                  <w:marTop w:val="0"/>
                  <w:marBottom w:val="0"/>
                  <w:divBdr>
                    <w:top w:val="none" w:sz="0" w:space="0" w:color="auto"/>
                    <w:left w:val="none" w:sz="0" w:space="0" w:color="auto"/>
                    <w:bottom w:val="none" w:sz="0" w:space="0" w:color="auto"/>
                    <w:right w:val="none" w:sz="0" w:space="0" w:color="auto"/>
                  </w:divBdr>
                  <w:divsChild>
                    <w:div w:id="669065592">
                      <w:marLeft w:val="0"/>
                      <w:marRight w:val="0"/>
                      <w:marTop w:val="0"/>
                      <w:marBottom w:val="0"/>
                      <w:divBdr>
                        <w:top w:val="none" w:sz="0" w:space="0" w:color="auto"/>
                        <w:left w:val="none" w:sz="0" w:space="0" w:color="auto"/>
                        <w:bottom w:val="none" w:sz="0" w:space="0" w:color="auto"/>
                        <w:right w:val="none" w:sz="0" w:space="0" w:color="auto"/>
                      </w:divBdr>
                      <w:divsChild>
                        <w:div w:id="65566789">
                          <w:marLeft w:val="0"/>
                          <w:marRight w:val="0"/>
                          <w:marTop w:val="0"/>
                          <w:marBottom w:val="0"/>
                          <w:divBdr>
                            <w:top w:val="none" w:sz="0" w:space="0" w:color="auto"/>
                            <w:left w:val="none" w:sz="0" w:space="0" w:color="auto"/>
                            <w:bottom w:val="none" w:sz="0" w:space="0" w:color="auto"/>
                            <w:right w:val="none" w:sz="0" w:space="0" w:color="auto"/>
                          </w:divBdr>
                          <w:divsChild>
                            <w:div w:id="1147086741">
                              <w:marLeft w:val="0"/>
                              <w:marRight w:val="0"/>
                              <w:marTop w:val="0"/>
                              <w:marBottom w:val="0"/>
                              <w:divBdr>
                                <w:top w:val="none" w:sz="0" w:space="0" w:color="auto"/>
                                <w:left w:val="none" w:sz="0" w:space="0" w:color="auto"/>
                                <w:bottom w:val="none" w:sz="0" w:space="0" w:color="auto"/>
                                <w:right w:val="none" w:sz="0" w:space="0" w:color="auto"/>
                              </w:divBdr>
                              <w:divsChild>
                                <w:div w:id="203103609">
                                  <w:marLeft w:val="0"/>
                                  <w:marRight w:val="0"/>
                                  <w:marTop w:val="0"/>
                                  <w:marBottom w:val="0"/>
                                  <w:divBdr>
                                    <w:top w:val="none" w:sz="0" w:space="0" w:color="auto"/>
                                    <w:left w:val="none" w:sz="0" w:space="0" w:color="auto"/>
                                    <w:bottom w:val="none" w:sz="0" w:space="0" w:color="auto"/>
                                    <w:right w:val="none" w:sz="0" w:space="0" w:color="auto"/>
                                  </w:divBdr>
                                  <w:divsChild>
                                    <w:div w:id="956176729">
                                      <w:marLeft w:val="0"/>
                                      <w:marRight w:val="0"/>
                                      <w:marTop w:val="0"/>
                                      <w:marBottom w:val="0"/>
                                      <w:divBdr>
                                        <w:top w:val="none" w:sz="0" w:space="0" w:color="auto"/>
                                        <w:left w:val="none" w:sz="0" w:space="0" w:color="auto"/>
                                        <w:bottom w:val="none" w:sz="0" w:space="0" w:color="auto"/>
                                        <w:right w:val="none" w:sz="0" w:space="0" w:color="auto"/>
                                      </w:divBdr>
                                      <w:divsChild>
                                        <w:div w:id="87046169">
                                          <w:marLeft w:val="0"/>
                                          <w:marRight w:val="0"/>
                                          <w:marTop w:val="0"/>
                                          <w:marBottom w:val="0"/>
                                          <w:divBdr>
                                            <w:top w:val="none" w:sz="0" w:space="0" w:color="auto"/>
                                            <w:left w:val="none" w:sz="0" w:space="0" w:color="auto"/>
                                            <w:bottom w:val="none" w:sz="0" w:space="0" w:color="auto"/>
                                            <w:right w:val="none" w:sz="0" w:space="0" w:color="auto"/>
                                          </w:divBdr>
                                          <w:divsChild>
                                            <w:div w:id="1702902695">
                                              <w:marLeft w:val="0"/>
                                              <w:marRight w:val="0"/>
                                              <w:marTop w:val="0"/>
                                              <w:marBottom w:val="0"/>
                                              <w:divBdr>
                                                <w:top w:val="none" w:sz="0" w:space="0" w:color="auto"/>
                                                <w:left w:val="none" w:sz="0" w:space="0" w:color="auto"/>
                                                <w:bottom w:val="none" w:sz="0" w:space="0" w:color="auto"/>
                                                <w:right w:val="none" w:sz="0" w:space="0" w:color="auto"/>
                                              </w:divBdr>
                                              <w:divsChild>
                                                <w:div w:id="1059749192">
                                                  <w:marLeft w:val="0"/>
                                                  <w:marRight w:val="0"/>
                                                  <w:marTop w:val="0"/>
                                                  <w:marBottom w:val="540"/>
                                                  <w:divBdr>
                                                    <w:top w:val="none" w:sz="0" w:space="0" w:color="auto"/>
                                                    <w:left w:val="none" w:sz="0" w:space="0" w:color="auto"/>
                                                    <w:bottom w:val="none" w:sz="0" w:space="0" w:color="auto"/>
                                                    <w:right w:val="none" w:sz="0" w:space="0" w:color="auto"/>
                                                  </w:divBdr>
                                                  <w:divsChild>
                                                    <w:div w:id="239408114">
                                                      <w:marLeft w:val="0"/>
                                                      <w:marRight w:val="0"/>
                                                      <w:marTop w:val="0"/>
                                                      <w:marBottom w:val="0"/>
                                                      <w:divBdr>
                                                        <w:top w:val="none" w:sz="0" w:space="0" w:color="auto"/>
                                                        <w:left w:val="none" w:sz="0" w:space="0" w:color="auto"/>
                                                        <w:bottom w:val="none" w:sz="0" w:space="0" w:color="auto"/>
                                                        <w:right w:val="none" w:sz="0" w:space="0" w:color="auto"/>
                                                      </w:divBdr>
                                                      <w:divsChild>
                                                        <w:div w:id="1144542841">
                                                          <w:marLeft w:val="0"/>
                                                          <w:marRight w:val="0"/>
                                                          <w:marTop w:val="0"/>
                                                          <w:marBottom w:val="0"/>
                                                          <w:divBdr>
                                                            <w:top w:val="single" w:sz="6" w:space="0" w:color="ABABAB"/>
                                                            <w:left w:val="single" w:sz="6" w:space="0" w:color="ABABAB"/>
                                                            <w:bottom w:val="single" w:sz="6" w:space="0" w:color="ABABAB"/>
                                                            <w:right w:val="single" w:sz="6" w:space="0" w:color="ABABAB"/>
                                                          </w:divBdr>
                                                          <w:divsChild>
                                                            <w:div w:id="898515047">
                                                              <w:marLeft w:val="0"/>
                                                              <w:marRight w:val="0"/>
                                                              <w:marTop w:val="0"/>
                                                              <w:marBottom w:val="0"/>
                                                              <w:divBdr>
                                                                <w:top w:val="none" w:sz="0" w:space="0" w:color="auto"/>
                                                                <w:left w:val="none" w:sz="0" w:space="0" w:color="auto"/>
                                                                <w:bottom w:val="none" w:sz="0" w:space="0" w:color="auto"/>
                                                                <w:right w:val="none" w:sz="0" w:space="0" w:color="auto"/>
                                                              </w:divBdr>
                                                              <w:divsChild>
                                                                <w:div w:id="608851622">
                                                                  <w:marLeft w:val="0"/>
                                                                  <w:marRight w:val="0"/>
                                                                  <w:marTop w:val="0"/>
                                                                  <w:marBottom w:val="0"/>
                                                                  <w:divBdr>
                                                                    <w:top w:val="none" w:sz="0" w:space="0" w:color="auto"/>
                                                                    <w:left w:val="none" w:sz="0" w:space="0" w:color="auto"/>
                                                                    <w:bottom w:val="none" w:sz="0" w:space="0" w:color="auto"/>
                                                                    <w:right w:val="none" w:sz="0" w:space="0" w:color="auto"/>
                                                                  </w:divBdr>
                                                                  <w:divsChild>
                                                                    <w:div w:id="249627626">
                                                                      <w:marLeft w:val="0"/>
                                                                      <w:marRight w:val="0"/>
                                                                      <w:marTop w:val="0"/>
                                                                      <w:marBottom w:val="0"/>
                                                                      <w:divBdr>
                                                                        <w:top w:val="none" w:sz="0" w:space="0" w:color="auto"/>
                                                                        <w:left w:val="none" w:sz="0" w:space="0" w:color="auto"/>
                                                                        <w:bottom w:val="none" w:sz="0" w:space="0" w:color="auto"/>
                                                                        <w:right w:val="none" w:sz="0" w:space="0" w:color="auto"/>
                                                                      </w:divBdr>
                                                                      <w:divsChild>
                                                                        <w:div w:id="1664160019">
                                                                          <w:marLeft w:val="0"/>
                                                                          <w:marRight w:val="0"/>
                                                                          <w:marTop w:val="0"/>
                                                                          <w:marBottom w:val="0"/>
                                                                          <w:divBdr>
                                                                            <w:top w:val="none" w:sz="0" w:space="0" w:color="auto"/>
                                                                            <w:left w:val="none" w:sz="0" w:space="0" w:color="auto"/>
                                                                            <w:bottom w:val="none" w:sz="0" w:space="0" w:color="auto"/>
                                                                            <w:right w:val="none" w:sz="0" w:space="0" w:color="auto"/>
                                                                          </w:divBdr>
                                                                          <w:divsChild>
                                                                            <w:div w:id="762529863">
                                                                              <w:marLeft w:val="0"/>
                                                                              <w:marRight w:val="0"/>
                                                                              <w:marTop w:val="0"/>
                                                                              <w:marBottom w:val="0"/>
                                                                              <w:divBdr>
                                                                                <w:top w:val="none" w:sz="0" w:space="0" w:color="auto"/>
                                                                                <w:left w:val="none" w:sz="0" w:space="0" w:color="auto"/>
                                                                                <w:bottom w:val="none" w:sz="0" w:space="0" w:color="auto"/>
                                                                                <w:right w:val="none" w:sz="0" w:space="0" w:color="auto"/>
                                                                              </w:divBdr>
                                                                              <w:divsChild>
                                                                                <w:div w:id="339162977">
                                                                                  <w:marLeft w:val="0"/>
                                                                                  <w:marRight w:val="0"/>
                                                                                  <w:marTop w:val="0"/>
                                                                                  <w:marBottom w:val="0"/>
                                                                                  <w:divBdr>
                                                                                    <w:top w:val="none" w:sz="0" w:space="0" w:color="auto"/>
                                                                                    <w:left w:val="none" w:sz="0" w:space="0" w:color="auto"/>
                                                                                    <w:bottom w:val="none" w:sz="0" w:space="0" w:color="auto"/>
                                                                                    <w:right w:val="none" w:sz="0" w:space="0" w:color="auto"/>
                                                                                  </w:divBdr>
                                                                                  <w:divsChild>
                                                                                    <w:div w:id="773480392">
                                                                                      <w:marLeft w:val="0"/>
                                                                                      <w:marRight w:val="0"/>
                                                                                      <w:marTop w:val="0"/>
                                                                                      <w:marBottom w:val="0"/>
                                                                                      <w:divBdr>
                                                                                        <w:top w:val="none" w:sz="0" w:space="0" w:color="auto"/>
                                                                                        <w:left w:val="none" w:sz="0" w:space="0" w:color="auto"/>
                                                                                        <w:bottom w:val="none" w:sz="0" w:space="0" w:color="auto"/>
                                                                                        <w:right w:val="none" w:sz="0" w:space="0" w:color="auto"/>
                                                                                      </w:divBdr>
                                                                                      <w:divsChild>
                                                                                        <w:div w:id="180901482">
                                                                                          <w:marLeft w:val="0"/>
                                                                                          <w:marRight w:val="0"/>
                                                                                          <w:marTop w:val="0"/>
                                                                                          <w:marBottom w:val="0"/>
                                                                                          <w:divBdr>
                                                                                            <w:top w:val="none" w:sz="0" w:space="0" w:color="auto"/>
                                                                                            <w:left w:val="none" w:sz="0" w:space="0" w:color="auto"/>
                                                                                            <w:bottom w:val="none" w:sz="0" w:space="0" w:color="auto"/>
                                                                                            <w:right w:val="none" w:sz="0" w:space="0" w:color="auto"/>
                                                                                          </w:divBdr>
                                                                                        </w:div>
                                                                                        <w:div w:id="1301181776">
                                                                                          <w:marLeft w:val="0"/>
                                                                                          <w:marRight w:val="0"/>
                                                                                          <w:marTop w:val="0"/>
                                                                                          <w:marBottom w:val="0"/>
                                                                                          <w:divBdr>
                                                                                            <w:top w:val="none" w:sz="0" w:space="0" w:color="auto"/>
                                                                                            <w:left w:val="none" w:sz="0" w:space="0" w:color="auto"/>
                                                                                            <w:bottom w:val="none" w:sz="0" w:space="0" w:color="auto"/>
                                                                                            <w:right w:val="none" w:sz="0" w:space="0" w:color="auto"/>
                                                                                          </w:divBdr>
                                                                                        </w:div>
                                                                                      </w:divsChild>
                                                                                    </w:div>
                                                                                    <w:div w:id="263614264">
                                                                                      <w:marLeft w:val="0"/>
                                                                                      <w:marRight w:val="0"/>
                                                                                      <w:marTop w:val="0"/>
                                                                                      <w:marBottom w:val="0"/>
                                                                                      <w:divBdr>
                                                                                        <w:top w:val="none" w:sz="0" w:space="0" w:color="auto"/>
                                                                                        <w:left w:val="none" w:sz="0" w:space="0" w:color="auto"/>
                                                                                        <w:bottom w:val="none" w:sz="0" w:space="0" w:color="auto"/>
                                                                                        <w:right w:val="none" w:sz="0" w:space="0" w:color="auto"/>
                                                                                      </w:divBdr>
                                                                                      <w:divsChild>
                                                                                        <w:div w:id="691686738">
                                                                                          <w:marLeft w:val="0"/>
                                                                                          <w:marRight w:val="0"/>
                                                                                          <w:marTop w:val="0"/>
                                                                                          <w:marBottom w:val="0"/>
                                                                                          <w:divBdr>
                                                                                            <w:top w:val="none" w:sz="0" w:space="0" w:color="auto"/>
                                                                                            <w:left w:val="none" w:sz="0" w:space="0" w:color="auto"/>
                                                                                            <w:bottom w:val="none" w:sz="0" w:space="0" w:color="auto"/>
                                                                                            <w:right w:val="none" w:sz="0" w:space="0" w:color="auto"/>
                                                                                          </w:divBdr>
                                                                                        </w:div>
                                                                                        <w:div w:id="1590655585">
                                                                                          <w:marLeft w:val="0"/>
                                                                                          <w:marRight w:val="0"/>
                                                                                          <w:marTop w:val="0"/>
                                                                                          <w:marBottom w:val="0"/>
                                                                                          <w:divBdr>
                                                                                            <w:top w:val="none" w:sz="0" w:space="0" w:color="auto"/>
                                                                                            <w:left w:val="none" w:sz="0" w:space="0" w:color="auto"/>
                                                                                            <w:bottom w:val="none" w:sz="0" w:space="0" w:color="auto"/>
                                                                                            <w:right w:val="none" w:sz="0" w:space="0" w:color="auto"/>
                                                                                          </w:divBdr>
                                                                                        </w:div>
                                                                                        <w:div w:id="220409024">
                                                                                          <w:marLeft w:val="0"/>
                                                                                          <w:marRight w:val="0"/>
                                                                                          <w:marTop w:val="0"/>
                                                                                          <w:marBottom w:val="0"/>
                                                                                          <w:divBdr>
                                                                                            <w:top w:val="none" w:sz="0" w:space="0" w:color="auto"/>
                                                                                            <w:left w:val="none" w:sz="0" w:space="0" w:color="auto"/>
                                                                                            <w:bottom w:val="none" w:sz="0" w:space="0" w:color="auto"/>
                                                                                            <w:right w:val="none" w:sz="0" w:space="0" w:color="auto"/>
                                                                                          </w:divBdr>
                                                                                        </w:div>
                                                                                        <w:div w:id="1700273878">
                                                                                          <w:marLeft w:val="0"/>
                                                                                          <w:marRight w:val="0"/>
                                                                                          <w:marTop w:val="0"/>
                                                                                          <w:marBottom w:val="0"/>
                                                                                          <w:divBdr>
                                                                                            <w:top w:val="none" w:sz="0" w:space="0" w:color="auto"/>
                                                                                            <w:left w:val="none" w:sz="0" w:space="0" w:color="auto"/>
                                                                                            <w:bottom w:val="none" w:sz="0" w:space="0" w:color="auto"/>
                                                                                            <w:right w:val="none" w:sz="0" w:space="0" w:color="auto"/>
                                                                                          </w:divBdr>
                                                                                        </w:div>
                                                                                      </w:divsChild>
                                                                                    </w:div>
                                                                                    <w:div w:id="635986327">
                                                                                      <w:marLeft w:val="0"/>
                                                                                      <w:marRight w:val="0"/>
                                                                                      <w:marTop w:val="0"/>
                                                                                      <w:marBottom w:val="0"/>
                                                                                      <w:divBdr>
                                                                                        <w:top w:val="none" w:sz="0" w:space="0" w:color="auto"/>
                                                                                        <w:left w:val="none" w:sz="0" w:space="0" w:color="auto"/>
                                                                                        <w:bottom w:val="none" w:sz="0" w:space="0" w:color="auto"/>
                                                                                        <w:right w:val="none" w:sz="0" w:space="0" w:color="auto"/>
                                                                                      </w:divBdr>
                                                                                      <w:divsChild>
                                                                                        <w:div w:id="175624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0138764">
      <w:bodyDiv w:val="1"/>
      <w:marLeft w:val="0"/>
      <w:marRight w:val="0"/>
      <w:marTop w:val="0"/>
      <w:marBottom w:val="0"/>
      <w:divBdr>
        <w:top w:val="none" w:sz="0" w:space="0" w:color="auto"/>
        <w:left w:val="none" w:sz="0" w:space="0" w:color="auto"/>
        <w:bottom w:val="none" w:sz="0" w:space="0" w:color="auto"/>
        <w:right w:val="none" w:sz="0" w:space="0" w:color="auto"/>
      </w:divBdr>
    </w:div>
    <w:div w:id="1694919450">
      <w:bodyDiv w:val="1"/>
      <w:marLeft w:val="0"/>
      <w:marRight w:val="0"/>
      <w:marTop w:val="0"/>
      <w:marBottom w:val="0"/>
      <w:divBdr>
        <w:top w:val="none" w:sz="0" w:space="0" w:color="auto"/>
        <w:left w:val="none" w:sz="0" w:space="0" w:color="auto"/>
        <w:bottom w:val="none" w:sz="0" w:space="0" w:color="auto"/>
        <w:right w:val="none" w:sz="0" w:space="0" w:color="auto"/>
      </w:divBdr>
    </w:div>
    <w:div w:id="1695812086">
      <w:bodyDiv w:val="1"/>
      <w:marLeft w:val="0"/>
      <w:marRight w:val="0"/>
      <w:marTop w:val="0"/>
      <w:marBottom w:val="0"/>
      <w:divBdr>
        <w:top w:val="none" w:sz="0" w:space="0" w:color="auto"/>
        <w:left w:val="none" w:sz="0" w:space="0" w:color="auto"/>
        <w:bottom w:val="none" w:sz="0" w:space="0" w:color="auto"/>
        <w:right w:val="none" w:sz="0" w:space="0" w:color="auto"/>
      </w:divBdr>
    </w:div>
    <w:div w:id="1696081551">
      <w:bodyDiv w:val="1"/>
      <w:marLeft w:val="0"/>
      <w:marRight w:val="0"/>
      <w:marTop w:val="0"/>
      <w:marBottom w:val="0"/>
      <w:divBdr>
        <w:top w:val="none" w:sz="0" w:space="0" w:color="auto"/>
        <w:left w:val="none" w:sz="0" w:space="0" w:color="auto"/>
        <w:bottom w:val="none" w:sz="0" w:space="0" w:color="auto"/>
        <w:right w:val="none" w:sz="0" w:space="0" w:color="auto"/>
      </w:divBdr>
    </w:div>
    <w:div w:id="1706445775">
      <w:bodyDiv w:val="1"/>
      <w:marLeft w:val="0"/>
      <w:marRight w:val="0"/>
      <w:marTop w:val="0"/>
      <w:marBottom w:val="0"/>
      <w:divBdr>
        <w:top w:val="none" w:sz="0" w:space="0" w:color="auto"/>
        <w:left w:val="none" w:sz="0" w:space="0" w:color="auto"/>
        <w:bottom w:val="none" w:sz="0" w:space="0" w:color="auto"/>
        <w:right w:val="none" w:sz="0" w:space="0" w:color="auto"/>
      </w:divBdr>
    </w:div>
    <w:div w:id="1707876000">
      <w:bodyDiv w:val="1"/>
      <w:marLeft w:val="0"/>
      <w:marRight w:val="0"/>
      <w:marTop w:val="0"/>
      <w:marBottom w:val="0"/>
      <w:divBdr>
        <w:top w:val="none" w:sz="0" w:space="0" w:color="auto"/>
        <w:left w:val="none" w:sz="0" w:space="0" w:color="auto"/>
        <w:bottom w:val="none" w:sz="0" w:space="0" w:color="auto"/>
        <w:right w:val="none" w:sz="0" w:space="0" w:color="auto"/>
      </w:divBdr>
    </w:div>
    <w:div w:id="1710639526">
      <w:bodyDiv w:val="1"/>
      <w:marLeft w:val="0"/>
      <w:marRight w:val="0"/>
      <w:marTop w:val="0"/>
      <w:marBottom w:val="0"/>
      <w:divBdr>
        <w:top w:val="none" w:sz="0" w:space="0" w:color="auto"/>
        <w:left w:val="none" w:sz="0" w:space="0" w:color="auto"/>
        <w:bottom w:val="none" w:sz="0" w:space="0" w:color="auto"/>
        <w:right w:val="none" w:sz="0" w:space="0" w:color="auto"/>
      </w:divBdr>
    </w:div>
    <w:div w:id="1715421233">
      <w:bodyDiv w:val="1"/>
      <w:marLeft w:val="0"/>
      <w:marRight w:val="0"/>
      <w:marTop w:val="0"/>
      <w:marBottom w:val="0"/>
      <w:divBdr>
        <w:top w:val="none" w:sz="0" w:space="0" w:color="auto"/>
        <w:left w:val="none" w:sz="0" w:space="0" w:color="auto"/>
        <w:bottom w:val="none" w:sz="0" w:space="0" w:color="auto"/>
        <w:right w:val="none" w:sz="0" w:space="0" w:color="auto"/>
      </w:divBdr>
    </w:div>
    <w:div w:id="1716540422">
      <w:bodyDiv w:val="1"/>
      <w:marLeft w:val="0"/>
      <w:marRight w:val="0"/>
      <w:marTop w:val="0"/>
      <w:marBottom w:val="0"/>
      <w:divBdr>
        <w:top w:val="none" w:sz="0" w:space="0" w:color="auto"/>
        <w:left w:val="none" w:sz="0" w:space="0" w:color="auto"/>
        <w:bottom w:val="none" w:sz="0" w:space="0" w:color="auto"/>
        <w:right w:val="none" w:sz="0" w:space="0" w:color="auto"/>
      </w:divBdr>
    </w:div>
    <w:div w:id="1720278635">
      <w:bodyDiv w:val="1"/>
      <w:marLeft w:val="0"/>
      <w:marRight w:val="0"/>
      <w:marTop w:val="0"/>
      <w:marBottom w:val="0"/>
      <w:divBdr>
        <w:top w:val="none" w:sz="0" w:space="0" w:color="auto"/>
        <w:left w:val="none" w:sz="0" w:space="0" w:color="auto"/>
        <w:bottom w:val="none" w:sz="0" w:space="0" w:color="auto"/>
        <w:right w:val="none" w:sz="0" w:space="0" w:color="auto"/>
      </w:divBdr>
    </w:div>
    <w:div w:id="1735591565">
      <w:bodyDiv w:val="1"/>
      <w:marLeft w:val="0"/>
      <w:marRight w:val="0"/>
      <w:marTop w:val="0"/>
      <w:marBottom w:val="0"/>
      <w:divBdr>
        <w:top w:val="none" w:sz="0" w:space="0" w:color="auto"/>
        <w:left w:val="none" w:sz="0" w:space="0" w:color="auto"/>
        <w:bottom w:val="none" w:sz="0" w:space="0" w:color="auto"/>
        <w:right w:val="none" w:sz="0" w:space="0" w:color="auto"/>
      </w:divBdr>
    </w:div>
    <w:div w:id="1736273880">
      <w:bodyDiv w:val="1"/>
      <w:marLeft w:val="0"/>
      <w:marRight w:val="0"/>
      <w:marTop w:val="0"/>
      <w:marBottom w:val="0"/>
      <w:divBdr>
        <w:top w:val="none" w:sz="0" w:space="0" w:color="auto"/>
        <w:left w:val="none" w:sz="0" w:space="0" w:color="auto"/>
        <w:bottom w:val="none" w:sz="0" w:space="0" w:color="auto"/>
        <w:right w:val="none" w:sz="0" w:space="0" w:color="auto"/>
      </w:divBdr>
    </w:div>
    <w:div w:id="1739786880">
      <w:bodyDiv w:val="1"/>
      <w:marLeft w:val="0"/>
      <w:marRight w:val="0"/>
      <w:marTop w:val="0"/>
      <w:marBottom w:val="0"/>
      <w:divBdr>
        <w:top w:val="none" w:sz="0" w:space="0" w:color="auto"/>
        <w:left w:val="none" w:sz="0" w:space="0" w:color="auto"/>
        <w:bottom w:val="none" w:sz="0" w:space="0" w:color="auto"/>
        <w:right w:val="none" w:sz="0" w:space="0" w:color="auto"/>
      </w:divBdr>
    </w:div>
    <w:div w:id="1741906528">
      <w:bodyDiv w:val="1"/>
      <w:marLeft w:val="0"/>
      <w:marRight w:val="0"/>
      <w:marTop w:val="0"/>
      <w:marBottom w:val="0"/>
      <w:divBdr>
        <w:top w:val="none" w:sz="0" w:space="0" w:color="auto"/>
        <w:left w:val="none" w:sz="0" w:space="0" w:color="auto"/>
        <w:bottom w:val="none" w:sz="0" w:space="0" w:color="auto"/>
        <w:right w:val="none" w:sz="0" w:space="0" w:color="auto"/>
      </w:divBdr>
    </w:div>
    <w:div w:id="1756170408">
      <w:bodyDiv w:val="1"/>
      <w:marLeft w:val="0"/>
      <w:marRight w:val="0"/>
      <w:marTop w:val="0"/>
      <w:marBottom w:val="0"/>
      <w:divBdr>
        <w:top w:val="none" w:sz="0" w:space="0" w:color="auto"/>
        <w:left w:val="none" w:sz="0" w:space="0" w:color="auto"/>
        <w:bottom w:val="none" w:sz="0" w:space="0" w:color="auto"/>
        <w:right w:val="none" w:sz="0" w:space="0" w:color="auto"/>
      </w:divBdr>
    </w:div>
    <w:div w:id="1756396777">
      <w:bodyDiv w:val="1"/>
      <w:marLeft w:val="0"/>
      <w:marRight w:val="0"/>
      <w:marTop w:val="0"/>
      <w:marBottom w:val="0"/>
      <w:divBdr>
        <w:top w:val="none" w:sz="0" w:space="0" w:color="auto"/>
        <w:left w:val="none" w:sz="0" w:space="0" w:color="auto"/>
        <w:bottom w:val="none" w:sz="0" w:space="0" w:color="auto"/>
        <w:right w:val="none" w:sz="0" w:space="0" w:color="auto"/>
      </w:divBdr>
    </w:div>
    <w:div w:id="1765494621">
      <w:bodyDiv w:val="1"/>
      <w:marLeft w:val="0"/>
      <w:marRight w:val="0"/>
      <w:marTop w:val="0"/>
      <w:marBottom w:val="0"/>
      <w:divBdr>
        <w:top w:val="none" w:sz="0" w:space="0" w:color="auto"/>
        <w:left w:val="none" w:sz="0" w:space="0" w:color="auto"/>
        <w:bottom w:val="none" w:sz="0" w:space="0" w:color="auto"/>
        <w:right w:val="none" w:sz="0" w:space="0" w:color="auto"/>
      </w:divBdr>
    </w:div>
    <w:div w:id="1767000823">
      <w:bodyDiv w:val="1"/>
      <w:marLeft w:val="0"/>
      <w:marRight w:val="0"/>
      <w:marTop w:val="0"/>
      <w:marBottom w:val="0"/>
      <w:divBdr>
        <w:top w:val="none" w:sz="0" w:space="0" w:color="auto"/>
        <w:left w:val="none" w:sz="0" w:space="0" w:color="auto"/>
        <w:bottom w:val="none" w:sz="0" w:space="0" w:color="auto"/>
        <w:right w:val="none" w:sz="0" w:space="0" w:color="auto"/>
      </w:divBdr>
    </w:div>
    <w:div w:id="1778283720">
      <w:bodyDiv w:val="1"/>
      <w:marLeft w:val="0"/>
      <w:marRight w:val="0"/>
      <w:marTop w:val="0"/>
      <w:marBottom w:val="0"/>
      <w:divBdr>
        <w:top w:val="none" w:sz="0" w:space="0" w:color="auto"/>
        <w:left w:val="none" w:sz="0" w:space="0" w:color="auto"/>
        <w:bottom w:val="none" w:sz="0" w:space="0" w:color="auto"/>
        <w:right w:val="none" w:sz="0" w:space="0" w:color="auto"/>
      </w:divBdr>
    </w:div>
    <w:div w:id="1780055533">
      <w:bodyDiv w:val="1"/>
      <w:marLeft w:val="0"/>
      <w:marRight w:val="0"/>
      <w:marTop w:val="0"/>
      <w:marBottom w:val="0"/>
      <w:divBdr>
        <w:top w:val="none" w:sz="0" w:space="0" w:color="auto"/>
        <w:left w:val="none" w:sz="0" w:space="0" w:color="auto"/>
        <w:bottom w:val="none" w:sz="0" w:space="0" w:color="auto"/>
        <w:right w:val="none" w:sz="0" w:space="0" w:color="auto"/>
      </w:divBdr>
    </w:div>
    <w:div w:id="1780447850">
      <w:bodyDiv w:val="1"/>
      <w:marLeft w:val="0"/>
      <w:marRight w:val="0"/>
      <w:marTop w:val="0"/>
      <w:marBottom w:val="0"/>
      <w:divBdr>
        <w:top w:val="none" w:sz="0" w:space="0" w:color="auto"/>
        <w:left w:val="none" w:sz="0" w:space="0" w:color="auto"/>
        <w:bottom w:val="none" w:sz="0" w:space="0" w:color="auto"/>
        <w:right w:val="none" w:sz="0" w:space="0" w:color="auto"/>
      </w:divBdr>
    </w:div>
    <w:div w:id="1783375924">
      <w:bodyDiv w:val="1"/>
      <w:marLeft w:val="0"/>
      <w:marRight w:val="0"/>
      <w:marTop w:val="0"/>
      <w:marBottom w:val="0"/>
      <w:divBdr>
        <w:top w:val="none" w:sz="0" w:space="0" w:color="auto"/>
        <w:left w:val="none" w:sz="0" w:space="0" w:color="auto"/>
        <w:bottom w:val="none" w:sz="0" w:space="0" w:color="auto"/>
        <w:right w:val="none" w:sz="0" w:space="0" w:color="auto"/>
      </w:divBdr>
    </w:div>
    <w:div w:id="1789086633">
      <w:bodyDiv w:val="1"/>
      <w:marLeft w:val="0"/>
      <w:marRight w:val="0"/>
      <w:marTop w:val="0"/>
      <w:marBottom w:val="0"/>
      <w:divBdr>
        <w:top w:val="none" w:sz="0" w:space="0" w:color="auto"/>
        <w:left w:val="none" w:sz="0" w:space="0" w:color="auto"/>
        <w:bottom w:val="none" w:sz="0" w:space="0" w:color="auto"/>
        <w:right w:val="none" w:sz="0" w:space="0" w:color="auto"/>
      </w:divBdr>
    </w:div>
    <w:div w:id="1793669196">
      <w:bodyDiv w:val="1"/>
      <w:marLeft w:val="0"/>
      <w:marRight w:val="0"/>
      <w:marTop w:val="0"/>
      <w:marBottom w:val="0"/>
      <w:divBdr>
        <w:top w:val="none" w:sz="0" w:space="0" w:color="auto"/>
        <w:left w:val="none" w:sz="0" w:space="0" w:color="auto"/>
        <w:bottom w:val="none" w:sz="0" w:space="0" w:color="auto"/>
        <w:right w:val="none" w:sz="0" w:space="0" w:color="auto"/>
      </w:divBdr>
    </w:div>
    <w:div w:id="1796946519">
      <w:bodyDiv w:val="1"/>
      <w:marLeft w:val="0"/>
      <w:marRight w:val="0"/>
      <w:marTop w:val="0"/>
      <w:marBottom w:val="0"/>
      <w:divBdr>
        <w:top w:val="none" w:sz="0" w:space="0" w:color="auto"/>
        <w:left w:val="none" w:sz="0" w:space="0" w:color="auto"/>
        <w:bottom w:val="none" w:sz="0" w:space="0" w:color="auto"/>
        <w:right w:val="none" w:sz="0" w:space="0" w:color="auto"/>
      </w:divBdr>
    </w:div>
    <w:div w:id="1797796090">
      <w:bodyDiv w:val="1"/>
      <w:marLeft w:val="0"/>
      <w:marRight w:val="0"/>
      <w:marTop w:val="0"/>
      <w:marBottom w:val="0"/>
      <w:divBdr>
        <w:top w:val="none" w:sz="0" w:space="0" w:color="auto"/>
        <w:left w:val="none" w:sz="0" w:space="0" w:color="auto"/>
        <w:bottom w:val="none" w:sz="0" w:space="0" w:color="auto"/>
        <w:right w:val="none" w:sz="0" w:space="0" w:color="auto"/>
      </w:divBdr>
    </w:div>
    <w:div w:id="1800223991">
      <w:bodyDiv w:val="1"/>
      <w:marLeft w:val="0"/>
      <w:marRight w:val="0"/>
      <w:marTop w:val="0"/>
      <w:marBottom w:val="0"/>
      <w:divBdr>
        <w:top w:val="none" w:sz="0" w:space="0" w:color="auto"/>
        <w:left w:val="none" w:sz="0" w:space="0" w:color="auto"/>
        <w:bottom w:val="none" w:sz="0" w:space="0" w:color="auto"/>
        <w:right w:val="none" w:sz="0" w:space="0" w:color="auto"/>
      </w:divBdr>
    </w:div>
    <w:div w:id="1805343060">
      <w:bodyDiv w:val="1"/>
      <w:marLeft w:val="0"/>
      <w:marRight w:val="0"/>
      <w:marTop w:val="0"/>
      <w:marBottom w:val="0"/>
      <w:divBdr>
        <w:top w:val="none" w:sz="0" w:space="0" w:color="auto"/>
        <w:left w:val="none" w:sz="0" w:space="0" w:color="auto"/>
        <w:bottom w:val="none" w:sz="0" w:space="0" w:color="auto"/>
        <w:right w:val="none" w:sz="0" w:space="0" w:color="auto"/>
      </w:divBdr>
    </w:div>
    <w:div w:id="1805737101">
      <w:bodyDiv w:val="1"/>
      <w:marLeft w:val="0"/>
      <w:marRight w:val="0"/>
      <w:marTop w:val="0"/>
      <w:marBottom w:val="0"/>
      <w:divBdr>
        <w:top w:val="none" w:sz="0" w:space="0" w:color="auto"/>
        <w:left w:val="none" w:sz="0" w:space="0" w:color="auto"/>
        <w:bottom w:val="none" w:sz="0" w:space="0" w:color="auto"/>
        <w:right w:val="none" w:sz="0" w:space="0" w:color="auto"/>
      </w:divBdr>
    </w:div>
    <w:div w:id="1809207592">
      <w:bodyDiv w:val="1"/>
      <w:marLeft w:val="0"/>
      <w:marRight w:val="0"/>
      <w:marTop w:val="0"/>
      <w:marBottom w:val="0"/>
      <w:divBdr>
        <w:top w:val="none" w:sz="0" w:space="0" w:color="auto"/>
        <w:left w:val="none" w:sz="0" w:space="0" w:color="auto"/>
        <w:bottom w:val="none" w:sz="0" w:space="0" w:color="auto"/>
        <w:right w:val="none" w:sz="0" w:space="0" w:color="auto"/>
      </w:divBdr>
    </w:div>
    <w:div w:id="1809587644">
      <w:bodyDiv w:val="1"/>
      <w:marLeft w:val="0"/>
      <w:marRight w:val="0"/>
      <w:marTop w:val="0"/>
      <w:marBottom w:val="0"/>
      <w:divBdr>
        <w:top w:val="none" w:sz="0" w:space="0" w:color="auto"/>
        <w:left w:val="none" w:sz="0" w:space="0" w:color="auto"/>
        <w:bottom w:val="none" w:sz="0" w:space="0" w:color="auto"/>
        <w:right w:val="none" w:sz="0" w:space="0" w:color="auto"/>
      </w:divBdr>
    </w:div>
    <w:div w:id="1811290225">
      <w:bodyDiv w:val="1"/>
      <w:marLeft w:val="0"/>
      <w:marRight w:val="0"/>
      <w:marTop w:val="0"/>
      <w:marBottom w:val="0"/>
      <w:divBdr>
        <w:top w:val="none" w:sz="0" w:space="0" w:color="auto"/>
        <w:left w:val="none" w:sz="0" w:space="0" w:color="auto"/>
        <w:bottom w:val="none" w:sz="0" w:space="0" w:color="auto"/>
        <w:right w:val="none" w:sz="0" w:space="0" w:color="auto"/>
      </w:divBdr>
    </w:div>
    <w:div w:id="1817138553">
      <w:bodyDiv w:val="1"/>
      <w:marLeft w:val="0"/>
      <w:marRight w:val="0"/>
      <w:marTop w:val="0"/>
      <w:marBottom w:val="0"/>
      <w:divBdr>
        <w:top w:val="none" w:sz="0" w:space="0" w:color="auto"/>
        <w:left w:val="none" w:sz="0" w:space="0" w:color="auto"/>
        <w:bottom w:val="none" w:sz="0" w:space="0" w:color="auto"/>
        <w:right w:val="none" w:sz="0" w:space="0" w:color="auto"/>
      </w:divBdr>
    </w:div>
    <w:div w:id="1824665047">
      <w:bodyDiv w:val="1"/>
      <w:marLeft w:val="0"/>
      <w:marRight w:val="0"/>
      <w:marTop w:val="0"/>
      <w:marBottom w:val="0"/>
      <w:divBdr>
        <w:top w:val="none" w:sz="0" w:space="0" w:color="auto"/>
        <w:left w:val="none" w:sz="0" w:space="0" w:color="auto"/>
        <w:bottom w:val="none" w:sz="0" w:space="0" w:color="auto"/>
        <w:right w:val="none" w:sz="0" w:space="0" w:color="auto"/>
      </w:divBdr>
    </w:div>
    <w:div w:id="1827697534">
      <w:bodyDiv w:val="1"/>
      <w:marLeft w:val="0"/>
      <w:marRight w:val="0"/>
      <w:marTop w:val="0"/>
      <w:marBottom w:val="0"/>
      <w:divBdr>
        <w:top w:val="none" w:sz="0" w:space="0" w:color="auto"/>
        <w:left w:val="none" w:sz="0" w:space="0" w:color="auto"/>
        <w:bottom w:val="none" w:sz="0" w:space="0" w:color="auto"/>
        <w:right w:val="none" w:sz="0" w:space="0" w:color="auto"/>
      </w:divBdr>
    </w:div>
    <w:div w:id="1832942008">
      <w:bodyDiv w:val="1"/>
      <w:marLeft w:val="0"/>
      <w:marRight w:val="0"/>
      <w:marTop w:val="0"/>
      <w:marBottom w:val="0"/>
      <w:divBdr>
        <w:top w:val="none" w:sz="0" w:space="0" w:color="auto"/>
        <w:left w:val="none" w:sz="0" w:space="0" w:color="auto"/>
        <w:bottom w:val="none" w:sz="0" w:space="0" w:color="auto"/>
        <w:right w:val="none" w:sz="0" w:space="0" w:color="auto"/>
      </w:divBdr>
    </w:div>
    <w:div w:id="1838688392">
      <w:bodyDiv w:val="1"/>
      <w:marLeft w:val="0"/>
      <w:marRight w:val="0"/>
      <w:marTop w:val="0"/>
      <w:marBottom w:val="0"/>
      <w:divBdr>
        <w:top w:val="none" w:sz="0" w:space="0" w:color="auto"/>
        <w:left w:val="none" w:sz="0" w:space="0" w:color="auto"/>
        <w:bottom w:val="none" w:sz="0" w:space="0" w:color="auto"/>
        <w:right w:val="none" w:sz="0" w:space="0" w:color="auto"/>
      </w:divBdr>
    </w:div>
    <w:div w:id="1838885287">
      <w:bodyDiv w:val="1"/>
      <w:marLeft w:val="0"/>
      <w:marRight w:val="0"/>
      <w:marTop w:val="0"/>
      <w:marBottom w:val="0"/>
      <w:divBdr>
        <w:top w:val="none" w:sz="0" w:space="0" w:color="auto"/>
        <w:left w:val="none" w:sz="0" w:space="0" w:color="auto"/>
        <w:bottom w:val="none" w:sz="0" w:space="0" w:color="auto"/>
        <w:right w:val="none" w:sz="0" w:space="0" w:color="auto"/>
      </w:divBdr>
    </w:div>
    <w:div w:id="1839466564">
      <w:bodyDiv w:val="1"/>
      <w:marLeft w:val="0"/>
      <w:marRight w:val="0"/>
      <w:marTop w:val="0"/>
      <w:marBottom w:val="0"/>
      <w:divBdr>
        <w:top w:val="none" w:sz="0" w:space="0" w:color="auto"/>
        <w:left w:val="none" w:sz="0" w:space="0" w:color="auto"/>
        <w:bottom w:val="none" w:sz="0" w:space="0" w:color="auto"/>
        <w:right w:val="none" w:sz="0" w:space="0" w:color="auto"/>
      </w:divBdr>
    </w:div>
    <w:div w:id="1844319079">
      <w:bodyDiv w:val="1"/>
      <w:marLeft w:val="0"/>
      <w:marRight w:val="0"/>
      <w:marTop w:val="0"/>
      <w:marBottom w:val="0"/>
      <w:divBdr>
        <w:top w:val="none" w:sz="0" w:space="0" w:color="auto"/>
        <w:left w:val="none" w:sz="0" w:space="0" w:color="auto"/>
        <w:bottom w:val="none" w:sz="0" w:space="0" w:color="auto"/>
        <w:right w:val="none" w:sz="0" w:space="0" w:color="auto"/>
      </w:divBdr>
    </w:div>
    <w:div w:id="1848061813">
      <w:bodyDiv w:val="1"/>
      <w:marLeft w:val="0"/>
      <w:marRight w:val="0"/>
      <w:marTop w:val="0"/>
      <w:marBottom w:val="0"/>
      <w:divBdr>
        <w:top w:val="none" w:sz="0" w:space="0" w:color="auto"/>
        <w:left w:val="none" w:sz="0" w:space="0" w:color="auto"/>
        <w:bottom w:val="none" w:sz="0" w:space="0" w:color="auto"/>
        <w:right w:val="none" w:sz="0" w:space="0" w:color="auto"/>
      </w:divBdr>
    </w:div>
    <w:div w:id="1849826138">
      <w:bodyDiv w:val="1"/>
      <w:marLeft w:val="0"/>
      <w:marRight w:val="0"/>
      <w:marTop w:val="0"/>
      <w:marBottom w:val="0"/>
      <w:divBdr>
        <w:top w:val="none" w:sz="0" w:space="0" w:color="auto"/>
        <w:left w:val="none" w:sz="0" w:space="0" w:color="auto"/>
        <w:bottom w:val="none" w:sz="0" w:space="0" w:color="auto"/>
        <w:right w:val="none" w:sz="0" w:space="0" w:color="auto"/>
      </w:divBdr>
    </w:div>
    <w:div w:id="1850215067">
      <w:bodyDiv w:val="1"/>
      <w:marLeft w:val="0"/>
      <w:marRight w:val="0"/>
      <w:marTop w:val="0"/>
      <w:marBottom w:val="0"/>
      <w:divBdr>
        <w:top w:val="none" w:sz="0" w:space="0" w:color="auto"/>
        <w:left w:val="none" w:sz="0" w:space="0" w:color="auto"/>
        <w:bottom w:val="none" w:sz="0" w:space="0" w:color="auto"/>
        <w:right w:val="none" w:sz="0" w:space="0" w:color="auto"/>
      </w:divBdr>
    </w:div>
    <w:div w:id="1857882500">
      <w:bodyDiv w:val="1"/>
      <w:marLeft w:val="0"/>
      <w:marRight w:val="0"/>
      <w:marTop w:val="0"/>
      <w:marBottom w:val="0"/>
      <w:divBdr>
        <w:top w:val="none" w:sz="0" w:space="0" w:color="auto"/>
        <w:left w:val="none" w:sz="0" w:space="0" w:color="auto"/>
        <w:bottom w:val="none" w:sz="0" w:space="0" w:color="auto"/>
        <w:right w:val="none" w:sz="0" w:space="0" w:color="auto"/>
      </w:divBdr>
    </w:div>
    <w:div w:id="1859587982">
      <w:bodyDiv w:val="1"/>
      <w:marLeft w:val="0"/>
      <w:marRight w:val="0"/>
      <w:marTop w:val="0"/>
      <w:marBottom w:val="0"/>
      <w:divBdr>
        <w:top w:val="none" w:sz="0" w:space="0" w:color="auto"/>
        <w:left w:val="none" w:sz="0" w:space="0" w:color="auto"/>
        <w:bottom w:val="none" w:sz="0" w:space="0" w:color="auto"/>
        <w:right w:val="none" w:sz="0" w:space="0" w:color="auto"/>
      </w:divBdr>
    </w:div>
    <w:div w:id="1868987156">
      <w:bodyDiv w:val="1"/>
      <w:marLeft w:val="0"/>
      <w:marRight w:val="0"/>
      <w:marTop w:val="0"/>
      <w:marBottom w:val="0"/>
      <w:divBdr>
        <w:top w:val="none" w:sz="0" w:space="0" w:color="auto"/>
        <w:left w:val="none" w:sz="0" w:space="0" w:color="auto"/>
        <w:bottom w:val="none" w:sz="0" w:space="0" w:color="auto"/>
        <w:right w:val="none" w:sz="0" w:space="0" w:color="auto"/>
      </w:divBdr>
    </w:div>
    <w:div w:id="1876500576">
      <w:bodyDiv w:val="1"/>
      <w:marLeft w:val="0"/>
      <w:marRight w:val="0"/>
      <w:marTop w:val="0"/>
      <w:marBottom w:val="0"/>
      <w:divBdr>
        <w:top w:val="none" w:sz="0" w:space="0" w:color="auto"/>
        <w:left w:val="none" w:sz="0" w:space="0" w:color="auto"/>
        <w:bottom w:val="none" w:sz="0" w:space="0" w:color="auto"/>
        <w:right w:val="none" w:sz="0" w:space="0" w:color="auto"/>
      </w:divBdr>
    </w:div>
    <w:div w:id="1876772377">
      <w:bodyDiv w:val="1"/>
      <w:marLeft w:val="0"/>
      <w:marRight w:val="0"/>
      <w:marTop w:val="0"/>
      <w:marBottom w:val="0"/>
      <w:divBdr>
        <w:top w:val="none" w:sz="0" w:space="0" w:color="auto"/>
        <w:left w:val="none" w:sz="0" w:space="0" w:color="auto"/>
        <w:bottom w:val="none" w:sz="0" w:space="0" w:color="auto"/>
        <w:right w:val="none" w:sz="0" w:space="0" w:color="auto"/>
      </w:divBdr>
      <w:divsChild>
        <w:div w:id="1265647660">
          <w:marLeft w:val="0"/>
          <w:marRight w:val="0"/>
          <w:marTop w:val="0"/>
          <w:marBottom w:val="0"/>
          <w:divBdr>
            <w:top w:val="none" w:sz="0" w:space="0" w:color="auto"/>
            <w:left w:val="none" w:sz="0" w:space="0" w:color="auto"/>
            <w:bottom w:val="none" w:sz="0" w:space="0" w:color="auto"/>
            <w:right w:val="none" w:sz="0" w:space="0" w:color="auto"/>
          </w:divBdr>
          <w:divsChild>
            <w:div w:id="38408230">
              <w:marLeft w:val="0"/>
              <w:marRight w:val="0"/>
              <w:marTop w:val="0"/>
              <w:marBottom w:val="0"/>
              <w:divBdr>
                <w:top w:val="none" w:sz="0" w:space="0" w:color="auto"/>
                <w:left w:val="none" w:sz="0" w:space="0" w:color="auto"/>
                <w:bottom w:val="none" w:sz="0" w:space="0" w:color="auto"/>
                <w:right w:val="none" w:sz="0" w:space="0" w:color="auto"/>
              </w:divBdr>
            </w:div>
            <w:div w:id="524943482">
              <w:marLeft w:val="0"/>
              <w:marRight w:val="0"/>
              <w:marTop w:val="0"/>
              <w:marBottom w:val="0"/>
              <w:divBdr>
                <w:top w:val="none" w:sz="0" w:space="0" w:color="auto"/>
                <w:left w:val="none" w:sz="0" w:space="0" w:color="auto"/>
                <w:bottom w:val="none" w:sz="0" w:space="0" w:color="auto"/>
                <w:right w:val="none" w:sz="0" w:space="0" w:color="auto"/>
              </w:divBdr>
            </w:div>
            <w:div w:id="566846393">
              <w:marLeft w:val="0"/>
              <w:marRight w:val="0"/>
              <w:marTop w:val="0"/>
              <w:marBottom w:val="0"/>
              <w:divBdr>
                <w:top w:val="none" w:sz="0" w:space="0" w:color="auto"/>
                <w:left w:val="none" w:sz="0" w:space="0" w:color="auto"/>
                <w:bottom w:val="none" w:sz="0" w:space="0" w:color="auto"/>
                <w:right w:val="none" w:sz="0" w:space="0" w:color="auto"/>
              </w:divBdr>
            </w:div>
            <w:div w:id="1025907419">
              <w:marLeft w:val="0"/>
              <w:marRight w:val="0"/>
              <w:marTop w:val="0"/>
              <w:marBottom w:val="0"/>
              <w:divBdr>
                <w:top w:val="none" w:sz="0" w:space="0" w:color="auto"/>
                <w:left w:val="none" w:sz="0" w:space="0" w:color="auto"/>
                <w:bottom w:val="none" w:sz="0" w:space="0" w:color="auto"/>
                <w:right w:val="none" w:sz="0" w:space="0" w:color="auto"/>
              </w:divBdr>
            </w:div>
            <w:div w:id="1032223302">
              <w:marLeft w:val="0"/>
              <w:marRight w:val="0"/>
              <w:marTop w:val="0"/>
              <w:marBottom w:val="0"/>
              <w:divBdr>
                <w:top w:val="none" w:sz="0" w:space="0" w:color="auto"/>
                <w:left w:val="none" w:sz="0" w:space="0" w:color="auto"/>
                <w:bottom w:val="none" w:sz="0" w:space="0" w:color="auto"/>
                <w:right w:val="none" w:sz="0" w:space="0" w:color="auto"/>
              </w:divBdr>
            </w:div>
            <w:div w:id="1077703489">
              <w:marLeft w:val="0"/>
              <w:marRight w:val="0"/>
              <w:marTop w:val="0"/>
              <w:marBottom w:val="0"/>
              <w:divBdr>
                <w:top w:val="none" w:sz="0" w:space="0" w:color="auto"/>
                <w:left w:val="none" w:sz="0" w:space="0" w:color="auto"/>
                <w:bottom w:val="none" w:sz="0" w:space="0" w:color="auto"/>
                <w:right w:val="none" w:sz="0" w:space="0" w:color="auto"/>
              </w:divBdr>
            </w:div>
            <w:div w:id="1154882327">
              <w:marLeft w:val="0"/>
              <w:marRight w:val="0"/>
              <w:marTop w:val="0"/>
              <w:marBottom w:val="0"/>
              <w:divBdr>
                <w:top w:val="none" w:sz="0" w:space="0" w:color="auto"/>
                <w:left w:val="none" w:sz="0" w:space="0" w:color="auto"/>
                <w:bottom w:val="none" w:sz="0" w:space="0" w:color="auto"/>
                <w:right w:val="none" w:sz="0" w:space="0" w:color="auto"/>
              </w:divBdr>
            </w:div>
            <w:div w:id="1190991743">
              <w:marLeft w:val="0"/>
              <w:marRight w:val="0"/>
              <w:marTop w:val="0"/>
              <w:marBottom w:val="0"/>
              <w:divBdr>
                <w:top w:val="none" w:sz="0" w:space="0" w:color="auto"/>
                <w:left w:val="none" w:sz="0" w:space="0" w:color="auto"/>
                <w:bottom w:val="none" w:sz="0" w:space="0" w:color="auto"/>
                <w:right w:val="none" w:sz="0" w:space="0" w:color="auto"/>
              </w:divBdr>
            </w:div>
            <w:div w:id="1297485998">
              <w:marLeft w:val="0"/>
              <w:marRight w:val="0"/>
              <w:marTop w:val="0"/>
              <w:marBottom w:val="0"/>
              <w:divBdr>
                <w:top w:val="none" w:sz="0" w:space="0" w:color="auto"/>
                <w:left w:val="none" w:sz="0" w:space="0" w:color="auto"/>
                <w:bottom w:val="none" w:sz="0" w:space="0" w:color="auto"/>
                <w:right w:val="none" w:sz="0" w:space="0" w:color="auto"/>
              </w:divBdr>
            </w:div>
            <w:div w:id="1376660125">
              <w:marLeft w:val="0"/>
              <w:marRight w:val="0"/>
              <w:marTop w:val="0"/>
              <w:marBottom w:val="0"/>
              <w:divBdr>
                <w:top w:val="none" w:sz="0" w:space="0" w:color="auto"/>
                <w:left w:val="none" w:sz="0" w:space="0" w:color="auto"/>
                <w:bottom w:val="none" w:sz="0" w:space="0" w:color="auto"/>
                <w:right w:val="none" w:sz="0" w:space="0" w:color="auto"/>
              </w:divBdr>
            </w:div>
            <w:div w:id="1408259897">
              <w:marLeft w:val="0"/>
              <w:marRight w:val="0"/>
              <w:marTop w:val="0"/>
              <w:marBottom w:val="0"/>
              <w:divBdr>
                <w:top w:val="none" w:sz="0" w:space="0" w:color="auto"/>
                <w:left w:val="none" w:sz="0" w:space="0" w:color="auto"/>
                <w:bottom w:val="none" w:sz="0" w:space="0" w:color="auto"/>
                <w:right w:val="none" w:sz="0" w:space="0" w:color="auto"/>
              </w:divBdr>
            </w:div>
            <w:div w:id="1619533160">
              <w:marLeft w:val="0"/>
              <w:marRight w:val="0"/>
              <w:marTop w:val="0"/>
              <w:marBottom w:val="0"/>
              <w:divBdr>
                <w:top w:val="none" w:sz="0" w:space="0" w:color="auto"/>
                <w:left w:val="none" w:sz="0" w:space="0" w:color="auto"/>
                <w:bottom w:val="none" w:sz="0" w:space="0" w:color="auto"/>
                <w:right w:val="none" w:sz="0" w:space="0" w:color="auto"/>
              </w:divBdr>
            </w:div>
            <w:div w:id="1626739458">
              <w:marLeft w:val="0"/>
              <w:marRight w:val="0"/>
              <w:marTop w:val="0"/>
              <w:marBottom w:val="0"/>
              <w:divBdr>
                <w:top w:val="none" w:sz="0" w:space="0" w:color="auto"/>
                <w:left w:val="none" w:sz="0" w:space="0" w:color="auto"/>
                <w:bottom w:val="none" w:sz="0" w:space="0" w:color="auto"/>
                <w:right w:val="none" w:sz="0" w:space="0" w:color="auto"/>
              </w:divBdr>
            </w:div>
            <w:div w:id="1867710811">
              <w:marLeft w:val="0"/>
              <w:marRight w:val="0"/>
              <w:marTop w:val="0"/>
              <w:marBottom w:val="0"/>
              <w:divBdr>
                <w:top w:val="none" w:sz="0" w:space="0" w:color="auto"/>
                <w:left w:val="none" w:sz="0" w:space="0" w:color="auto"/>
                <w:bottom w:val="none" w:sz="0" w:space="0" w:color="auto"/>
                <w:right w:val="none" w:sz="0" w:space="0" w:color="auto"/>
              </w:divBdr>
            </w:div>
            <w:div w:id="1961647527">
              <w:marLeft w:val="0"/>
              <w:marRight w:val="0"/>
              <w:marTop w:val="0"/>
              <w:marBottom w:val="0"/>
              <w:divBdr>
                <w:top w:val="none" w:sz="0" w:space="0" w:color="auto"/>
                <w:left w:val="none" w:sz="0" w:space="0" w:color="auto"/>
                <w:bottom w:val="none" w:sz="0" w:space="0" w:color="auto"/>
                <w:right w:val="none" w:sz="0" w:space="0" w:color="auto"/>
              </w:divBdr>
            </w:div>
            <w:div w:id="211150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7544">
      <w:bodyDiv w:val="1"/>
      <w:marLeft w:val="0"/>
      <w:marRight w:val="0"/>
      <w:marTop w:val="0"/>
      <w:marBottom w:val="0"/>
      <w:divBdr>
        <w:top w:val="none" w:sz="0" w:space="0" w:color="auto"/>
        <w:left w:val="none" w:sz="0" w:space="0" w:color="auto"/>
        <w:bottom w:val="none" w:sz="0" w:space="0" w:color="auto"/>
        <w:right w:val="none" w:sz="0" w:space="0" w:color="auto"/>
      </w:divBdr>
    </w:div>
    <w:div w:id="1888296711">
      <w:bodyDiv w:val="1"/>
      <w:marLeft w:val="0"/>
      <w:marRight w:val="0"/>
      <w:marTop w:val="0"/>
      <w:marBottom w:val="0"/>
      <w:divBdr>
        <w:top w:val="none" w:sz="0" w:space="0" w:color="auto"/>
        <w:left w:val="none" w:sz="0" w:space="0" w:color="auto"/>
        <w:bottom w:val="none" w:sz="0" w:space="0" w:color="auto"/>
        <w:right w:val="none" w:sz="0" w:space="0" w:color="auto"/>
      </w:divBdr>
    </w:div>
    <w:div w:id="1895771842">
      <w:bodyDiv w:val="1"/>
      <w:marLeft w:val="0"/>
      <w:marRight w:val="0"/>
      <w:marTop w:val="0"/>
      <w:marBottom w:val="0"/>
      <w:divBdr>
        <w:top w:val="none" w:sz="0" w:space="0" w:color="auto"/>
        <w:left w:val="none" w:sz="0" w:space="0" w:color="auto"/>
        <w:bottom w:val="none" w:sz="0" w:space="0" w:color="auto"/>
        <w:right w:val="none" w:sz="0" w:space="0" w:color="auto"/>
      </w:divBdr>
    </w:div>
    <w:div w:id="1895896721">
      <w:bodyDiv w:val="1"/>
      <w:marLeft w:val="0"/>
      <w:marRight w:val="0"/>
      <w:marTop w:val="0"/>
      <w:marBottom w:val="0"/>
      <w:divBdr>
        <w:top w:val="none" w:sz="0" w:space="0" w:color="auto"/>
        <w:left w:val="none" w:sz="0" w:space="0" w:color="auto"/>
        <w:bottom w:val="none" w:sz="0" w:space="0" w:color="auto"/>
        <w:right w:val="none" w:sz="0" w:space="0" w:color="auto"/>
      </w:divBdr>
    </w:div>
    <w:div w:id="1896577913">
      <w:bodyDiv w:val="1"/>
      <w:marLeft w:val="0"/>
      <w:marRight w:val="0"/>
      <w:marTop w:val="0"/>
      <w:marBottom w:val="0"/>
      <w:divBdr>
        <w:top w:val="none" w:sz="0" w:space="0" w:color="auto"/>
        <w:left w:val="none" w:sz="0" w:space="0" w:color="auto"/>
        <w:bottom w:val="none" w:sz="0" w:space="0" w:color="auto"/>
        <w:right w:val="none" w:sz="0" w:space="0" w:color="auto"/>
      </w:divBdr>
    </w:div>
    <w:div w:id="1897818009">
      <w:bodyDiv w:val="1"/>
      <w:marLeft w:val="0"/>
      <w:marRight w:val="0"/>
      <w:marTop w:val="0"/>
      <w:marBottom w:val="0"/>
      <w:divBdr>
        <w:top w:val="none" w:sz="0" w:space="0" w:color="auto"/>
        <w:left w:val="none" w:sz="0" w:space="0" w:color="auto"/>
        <w:bottom w:val="none" w:sz="0" w:space="0" w:color="auto"/>
        <w:right w:val="none" w:sz="0" w:space="0" w:color="auto"/>
      </w:divBdr>
    </w:div>
    <w:div w:id="1907571910">
      <w:bodyDiv w:val="1"/>
      <w:marLeft w:val="0"/>
      <w:marRight w:val="0"/>
      <w:marTop w:val="0"/>
      <w:marBottom w:val="0"/>
      <w:divBdr>
        <w:top w:val="none" w:sz="0" w:space="0" w:color="auto"/>
        <w:left w:val="none" w:sz="0" w:space="0" w:color="auto"/>
        <w:bottom w:val="none" w:sz="0" w:space="0" w:color="auto"/>
        <w:right w:val="none" w:sz="0" w:space="0" w:color="auto"/>
      </w:divBdr>
    </w:div>
    <w:div w:id="1911309855">
      <w:bodyDiv w:val="1"/>
      <w:marLeft w:val="0"/>
      <w:marRight w:val="0"/>
      <w:marTop w:val="0"/>
      <w:marBottom w:val="0"/>
      <w:divBdr>
        <w:top w:val="none" w:sz="0" w:space="0" w:color="auto"/>
        <w:left w:val="none" w:sz="0" w:space="0" w:color="auto"/>
        <w:bottom w:val="none" w:sz="0" w:space="0" w:color="auto"/>
        <w:right w:val="none" w:sz="0" w:space="0" w:color="auto"/>
      </w:divBdr>
    </w:div>
    <w:div w:id="1913658230">
      <w:bodyDiv w:val="1"/>
      <w:marLeft w:val="0"/>
      <w:marRight w:val="0"/>
      <w:marTop w:val="0"/>
      <w:marBottom w:val="0"/>
      <w:divBdr>
        <w:top w:val="none" w:sz="0" w:space="0" w:color="auto"/>
        <w:left w:val="none" w:sz="0" w:space="0" w:color="auto"/>
        <w:bottom w:val="none" w:sz="0" w:space="0" w:color="auto"/>
        <w:right w:val="none" w:sz="0" w:space="0" w:color="auto"/>
      </w:divBdr>
    </w:div>
    <w:div w:id="1914504610">
      <w:bodyDiv w:val="1"/>
      <w:marLeft w:val="0"/>
      <w:marRight w:val="0"/>
      <w:marTop w:val="0"/>
      <w:marBottom w:val="0"/>
      <w:divBdr>
        <w:top w:val="none" w:sz="0" w:space="0" w:color="auto"/>
        <w:left w:val="none" w:sz="0" w:space="0" w:color="auto"/>
        <w:bottom w:val="none" w:sz="0" w:space="0" w:color="auto"/>
        <w:right w:val="none" w:sz="0" w:space="0" w:color="auto"/>
      </w:divBdr>
    </w:div>
    <w:div w:id="1916895013">
      <w:bodyDiv w:val="1"/>
      <w:marLeft w:val="0"/>
      <w:marRight w:val="0"/>
      <w:marTop w:val="0"/>
      <w:marBottom w:val="0"/>
      <w:divBdr>
        <w:top w:val="none" w:sz="0" w:space="0" w:color="auto"/>
        <w:left w:val="none" w:sz="0" w:space="0" w:color="auto"/>
        <w:bottom w:val="none" w:sz="0" w:space="0" w:color="auto"/>
        <w:right w:val="none" w:sz="0" w:space="0" w:color="auto"/>
      </w:divBdr>
    </w:div>
    <w:div w:id="1919096611">
      <w:bodyDiv w:val="1"/>
      <w:marLeft w:val="0"/>
      <w:marRight w:val="0"/>
      <w:marTop w:val="0"/>
      <w:marBottom w:val="0"/>
      <w:divBdr>
        <w:top w:val="none" w:sz="0" w:space="0" w:color="auto"/>
        <w:left w:val="none" w:sz="0" w:space="0" w:color="auto"/>
        <w:bottom w:val="none" w:sz="0" w:space="0" w:color="auto"/>
        <w:right w:val="none" w:sz="0" w:space="0" w:color="auto"/>
      </w:divBdr>
    </w:div>
    <w:div w:id="1920671812">
      <w:bodyDiv w:val="1"/>
      <w:marLeft w:val="0"/>
      <w:marRight w:val="0"/>
      <w:marTop w:val="0"/>
      <w:marBottom w:val="0"/>
      <w:divBdr>
        <w:top w:val="none" w:sz="0" w:space="0" w:color="auto"/>
        <w:left w:val="none" w:sz="0" w:space="0" w:color="auto"/>
        <w:bottom w:val="none" w:sz="0" w:space="0" w:color="auto"/>
        <w:right w:val="none" w:sz="0" w:space="0" w:color="auto"/>
      </w:divBdr>
    </w:div>
    <w:div w:id="1922568525">
      <w:bodyDiv w:val="1"/>
      <w:marLeft w:val="0"/>
      <w:marRight w:val="0"/>
      <w:marTop w:val="0"/>
      <w:marBottom w:val="0"/>
      <w:divBdr>
        <w:top w:val="none" w:sz="0" w:space="0" w:color="auto"/>
        <w:left w:val="none" w:sz="0" w:space="0" w:color="auto"/>
        <w:bottom w:val="none" w:sz="0" w:space="0" w:color="auto"/>
        <w:right w:val="none" w:sz="0" w:space="0" w:color="auto"/>
      </w:divBdr>
    </w:div>
    <w:div w:id="1926331462">
      <w:bodyDiv w:val="1"/>
      <w:marLeft w:val="0"/>
      <w:marRight w:val="0"/>
      <w:marTop w:val="0"/>
      <w:marBottom w:val="0"/>
      <w:divBdr>
        <w:top w:val="none" w:sz="0" w:space="0" w:color="auto"/>
        <w:left w:val="none" w:sz="0" w:space="0" w:color="auto"/>
        <w:bottom w:val="none" w:sz="0" w:space="0" w:color="auto"/>
        <w:right w:val="none" w:sz="0" w:space="0" w:color="auto"/>
      </w:divBdr>
    </w:div>
    <w:div w:id="1926451472">
      <w:bodyDiv w:val="1"/>
      <w:marLeft w:val="0"/>
      <w:marRight w:val="0"/>
      <w:marTop w:val="0"/>
      <w:marBottom w:val="0"/>
      <w:divBdr>
        <w:top w:val="none" w:sz="0" w:space="0" w:color="auto"/>
        <w:left w:val="none" w:sz="0" w:space="0" w:color="auto"/>
        <w:bottom w:val="none" w:sz="0" w:space="0" w:color="auto"/>
        <w:right w:val="none" w:sz="0" w:space="0" w:color="auto"/>
      </w:divBdr>
    </w:div>
    <w:div w:id="1927810071">
      <w:bodyDiv w:val="1"/>
      <w:marLeft w:val="0"/>
      <w:marRight w:val="0"/>
      <w:marTop w:val="0"/>
      <w:marBottom w:val="0"/>
      <w:divBdr>
        <w:top w:val="none" w:sz="0" w:space="0" w:color="auto"/>
        <w:left w:val="none" w:sz="0" w:space="0" w:color="auto"/>
        <w:bottom w:val="none" w:sz="0" w:space="0" w:color="auto"/>
        <w:right w:val="none" w:sz="0" w:space="0" w:color="auto"/>
      </w:divBdr>
    </w:div>
    <w:div w:id="1929076423">
      <w:bodyDiv w:val="1"/>
      <w:marLeft w:val="0"/>
      <w:marRight w:val="0"/>
      <w:marTop w:val="0"/>
      <w:marBottom w:val="0"/>
      <w:divBdr>
        <w:top w:val="none" w:sz="0" w:space="0" w:color="auto"/>
        <w:left w:val="none" w:sz="0" w:space="0" w:color="auto"/>
        <w:bottom w:val="none" w:sz="0" w:space="0" w:color="auto"/>
        <w:right w:val="none" w:sz="0" w:space="0" w:color="auto"/>
      </w:divBdr>
    </w:div>
    <w:div w:id="1949190961">
      <w:bodyDiv w:val="1"/>
      <w:marLeft w:val="0"/>
      <w:marRight w:val="0"/>
      <w:marTop w:val="0"/>
      <w:marBottom w:val="0"/>
      <w:divBdr>
        <w:top w:val="none" w:sz="0" w:space="0" w:color="auto"/>
        <w:left w:val="none" w:sz="0" w:space="0" w:color="auto"/>
        <w:bottom w:val="none" w:sz="0" w:space="0" w:color="auto"/>
        <w:right w:val="none" w:sz="0" w:space="0" w:color="auto"/>
      </w:divBdr>
    </w:div>
    <w:div w:id="1950038988">
      <w:bodyDiv w:val="1"/>
      <w:marLeft w:val="0"/>
      <w:marRight w:val="0"/>
      <w:marTop w:val="0"/>
      <w:marBottom w:val="0"/>
      <w:divBdr>
        <w:top w:val="none" w:sz="0" w:space="0" w:color="auto"/>
        <w:left w:val="none" w:sz="0" w:space="0" w:color="auto"/>
        <w:bottom w:val="none" w:sz="0" w:space="0" w:color="auto"/>
        <w:right w:val="none" w:sz="0" w:space="0" w:color="auto"/>
      </w:divBdr>
    </w:div>
    <w:div w:id="1950576625">
      <w:bodyDiv w:val="1"/>
      <w:marLeft w:val="0"/>
      <w:marRight w:val="0"/>
      <w:marTop w:val="0"/>
      <w:marBottom w:val="0"/>
      <w:divBdr>
        <w:top w:val="none" w:sz="0" w:space="0" w:color="auto"/>
        <w:left w:val="none" w:sz="0" w:space="0" w:color="auto"/>
        <w:bottom w:val="none" w:sz="0" w:space="0" w:color="auto"/>
        <w:right w:val="none" w:sz="0" w:space="0" w:color="auto"/>
      </w:divBdr>
    </w:div>
    <w:div w:id="1955792019">
      <w:bodyDiv w:val="1"/>
      <w:marLeft w:val="0"/>
      <w:marRight w:val="0"/>
      <w:marTop w:val="0"/>
      <w:marBottom w:val="0"/>
      <w:divBdr>
        <w:top w:val="none" w:sz="0" w:space="0" w:color="auto"/>
        <w:left w:val="none" w:sz="0" w:space="0" w:color="auto"/>
        <w:bottom w:val="none" w:sz="0" w:space="0" w:color="auto"/>
        <w:right w:val="none" w:sz="0" w:space="0" w:color="auto"/>
      </w:divBdr>
    </w:div>
    <w:div w:id="1959213584">
      <w:bodyDiv w:val="1"/>
      <w:marLeft w:val="0"/>
      <w:marRight w:val="0"/>
      <w:marTop w:val="0"/>
      <w:marBottom w:val="0"/>
      <w:divBdr>
        <w:top w:val="none" w:sz="0" w:space="0" w:color="auto"/>
        <w:left w:val="none" w:sz="0" w:space="0" w:color="auto"/>
        <w:bottom w:val="none" w:sz="0" w:space="0" w:color="auto"/>
        <w:right w:val="none" w:sz="0" w:space="0" w:color="auto"/>
      </w:divBdr>
    </w:div>
    <w:div w:id="1973511330">
      <w:bodyDiv w:val="1"/>
      <w:marLeft w:val="0"/>
      <w:marRight w:val="0"/>
      <w:marTop w:val="0"/>
      <w:marBottom w:val="0"/>
      <w:divBdr>
        <w:top w:val="none" w:sz="0" w:space="0" w:color="auto"/>
        <w:left w:val="none" w:sz="0" w:space="0" w:color="auto"/>
        <w:bottom w:val="none" w:sz="0" w:space="0" w:color="auto"/>
        <w:right w:val="none" w:sz="0" w:space="0" w:color="auto"/>
      </w:divBdr>
    </w:div>
    <w:div w:id="1976132681">
      <w:bodyDiv w:val="1"/>
      <w:marLeft w:val="0"/>
      <w:marRight w:val="0"/>
      <w:marTop w:val="0"/>
      <w:marBottom w:val="0"/>
      <w:divBdr>
        <w:top w:val="none" w:sz="0" w:space="0" w:color="auto"/>
        <w:left w:val="none" w:sz="0" w:space="0" w:color="auto"/>
        <w:bottom w:val="none" w:sz="0" w:space="0" w:color="auto"/>
        <w:right w:val="none" w:sz="0" w:space="0" w:color="auto"/>
      </w:divBdr>
    </w:div>
    <w:div w:id="1977099866">
      <w:bodyDiv w:val="1"/>
      <w:marLeft w:val="0"/>
      <w:marRight w:val="0"/>
      <w:marTop w:val="0"/>
      <w:marBottom w:val="0"/>
      <w:divBdr>
        <w:top w:val="none" w:sz="0" w:space="0" w:color="auto"/>
        <w:left w:val="none" w:sz="0" w:space="0" w:color="auto"/>
        <w:bottom w:val="none" w:sz="0" w:space="0" w:color="auto"/>
        <w:right w:val="none" w:sz="0" w:space="0" w:color="auto"/>
      </w:divBdr>
    </w:div>
    <w:div w:id="1977176923">
      <w:bodyDiv w:val="1"/>
      <w:marLeft w:val="0"/>
      <w:marRight w:val="0"/>
      <w:marTop w:val="0"/>
      <w:marBottom w:val="0"/>
      <w:divBdr>
        <w:top w:val="none" w:sz="0" w:space="0" w:color="auto"/>
        <w:left w:val="none" w:sz="0" w:space="0" w:color="auto"/>
        <w:bottom w:val="none" w:sz="0" w:space="0" w:color="auto"/>
        <w:right w:val="none" w:sz="0" w:space="0" w:color="auto"/>
      </w:divBdr>
    </w:div>
    <w:div w:id="1977684773">
      <w:bodyDiv w:val="1"/>
      <w:marLeft w:val="0"/>
      <w:marRight w:val="0"/>
      <w:marTop w:val="0"/>
      <w:marBottom w:val="0"/>
      <w:divBdr>
        <w:top w:val="none" w:sz="0" w:space="0" w:color="auto"/>
        <w:left w:val="none" w:sz="0" w:space="0" w:color="auto"/>
        <w:bottom w:val="none" w:sz="0" w:space="0" w:color="auto"/>
        <w:right w:val="none" w:sz="0" w:space="0" w:color="auto"/>
      </w:divBdr>
    </w:div>
    <w:div w:id="1979800415">
      <w:bodyDiv w:val="1"/>
      <w:marLeft w:val="0"/>
      <w:marRight w:val="0"/>
      <w:marTop w:val="0"/>
      <w:marBottom w:val="0"/>
      <w:divBdr>
        <w:top w:val="none" w:sz="0" w:space="0" w:color="auto"/>
        <w:left w:val="none" w:sz="0" w:space="0" w:color="auto"/>
        <w:bottom w:val="none" w:sz="0" w:space="0" w:color="auto"/>
        <w:right w:val="none" w:sz="0" w:space="0" w:color="auto"/>
      </w:divBdr>
    </w:div>
    <w:div w:id="1988390132">
      <w:bodyDiv w:val="1"/>
      <w:marLeft w:val="0"/>
      <w:marRight w:val="0"/>
      <w:marTop w:val="0"/>
      <w:marBottom w:val="0"/>
      <w:divBdr>
        <w:top w:val="none" w:sz="0" w:space="0" w:color="auto"/>
        <w:left w:val="none" w:sz="0" w:space="0" w:color="auto"/>
        <w:bottom w:val="none" w:sz="0" w:space="0" w:color="auto"/>
        <w:right w:val="none" w:sz="0" w:space="0" w:color="auto"/>
      </w:divBdr>
    </w:div>
    <w:div w:id="1989363054">
      <w:bodyDiv w:val="1"/>
      <w:marLeft w:val="0"/>
      <w:marRight w:val="0"/>
      <w:marTop w:val="0"/>
      <w:marBottom w:val="0"/>
      <w:divBdr>
        <w:top w:val="none" w:sz="0" w:space="0" w:color="auto"/>
        <w:left w:val="none" w:sz="0" w:space="0" w:color="auto"/>
        <w:bottom w:val="none" w:sz="0" w:space="0" w:color="auto"/>
        <w:right w:val="none" w:sz="0" w:space="0" w:color="auto"/>
      </w:divBdr>
    </w:div>
    <w:div w:id="1995987248">
      <w:bodyDiv w:val="1"/>
      <w:marLeft w:val="0"/>
      <w:marRight w:val="0"/>
      <w:marTop w:val="0"/>
      <w:marBottom w:val="0"/>
      <w:divBdr>
        <w:top w:val="none" w:sz="0" w:space="0" w:color="auto"/>
        <w:left w:val="none" w:sz="0" w:space="0" w:color="auto"/>
        <w:bottom w:val="none" w:sz="0" w:space="0" w:color="auto"/>
        <w:right w:val="none" w:sz="0" w:space="0" w:color="auto"/>
      </w:divBdr>
    </w:div>
    <w:div w:id="2000376916">
      <w:bodyDiv w:val="1"/>
      <w:marLeft w:val="0"/>
      <w:marRight w:val="0"/>
      <w:marTop w:val="0"/>
      <w:marBottom w:val="0"/>
      <w:divBdr>
        <w:top w:val="none" w:sz="0" w:space="0" w:color="auto"/>
        <w:left w:val="none" w:sz="0" w:space="0" w:color="auto"/>
        <w:bottom w:val="none" w:sz="0" w:space="0" w:color="auto"/>
        <w:right w:val="none" w:sz="0" w:space="0" w:color="auto"/>
      </w:divBdr>
    </w:div>
    <w:div w:id="2004384833">
      <w:bodyDiv w:val="1"/>
      <w:marLeft w:val="0"/>
      <w:marRight w:val="0"/>
      <w:marTop w:val="0"/>
      <w:marBottom w:val="0"/>
      <w:divBdr>
        <w:top w:val="none" w:sz="0" w:space="0" w:color="auto"/>
        <w:left w:val="none" w:sz="0" w:space="0" w:color="auto"/>
        <w:bottom w:val="none" w:sz="0" w:space="0" w:color="auto"/>
        <w:right w:val="none" w:sz="0" w:space="0" w:color="auto"/>
      </w:divBdr>
    </w:div>
    <w:div w:id="2007904072">
      <w:bodyDiv w:val="1"/>
      <w:marLeft w:val="0"/>
      <w:marRight w:val="0"/>
      <w:marTop w:val="0"/>
      <w:marBottom w:val="0"/>
      <w:divBdr>
        <w:top w:val="none" w:sz="0" w:space="0" w:color="auto"/>
        <w:left w:val="none" w:sz="0" w:space="0" w:color="auto"/>
        <w:bottom w:val="none" w:sz="0" w:space="0" w:color="auto"/>
        <w:right w:val="none" w:sz="0" w:space="0" w:color="auto"/>
      </w:divBdr>
    </w:div>
    <w:div w:id="2013293659">
      <w:bodyDiv w:val="1"/>
      <w:marLeft w:val="0"/>
      <w:marRight w:val="0"/>
      <w:marTop w:val="0"/>
      <w:marBottom w:val="0"/>
      <w:divBdr>
        <w:top w:val="none" w:sz="0" w:space="0" w:color="auto"/>
        <w:left w:val="none" w:sz="0" w:space="0" w:color="auto"/>
        <w:bottom w:val="none" w:sz="0" w:space="0" w:color="auto"/>
        <w:right w:val="none" w:sz="0" w:space="0" w:color="auto"/>
      </w:divBdr>
    </w:div>
    <w:div w:id="2015304103">
      <w:bodyDiv w:val="1"/>
      <w:marLeft w:val="0"/>
      <w:marRight w:val="0"/>
      <w:marTop w:val="0"/>
      <w:marBottom w:val="0"/>
      <w:divBdr>
        <w:top w:val="none" w:sz="0" w:space="0" w:color="auto"/>
        <w:left w:val="none" w:sz="0" w:space="0" w:color="auto"/>
        <w:bottom w:val="none" w:sz="0" w:space="0" w:color="auto"/>
        <w:right w:val="none" w:sz="0" w:space="0" w:color="auto"/>
      </w:divBdr>
      <w:divsChild>
        <w:div w:id="42025966">
          <w:marLeft w:val="0"/>
          <w:marRight w:val="0"/>
          <w:marTop w:val="0"/>
          <w:marBottom w:val="0"/>
          <w:divBdr>
            <w:top w:val="none" w:sz="0" w:space="0" w:color="auto"/>
            <w:left w:val="none" w:sz="0" w:space="0" w:color="auto"/>
            <w:bottom w:val="none" w:sz="0" w:space="0" w:color="auto"/>
            <w:right w:val="none" w:sz="0" w:space="0" w:color="auto"/>
          </w:divBdr>
        </w:div>
        <w:div w:id="156923513">
          <w:marLeft w:val="0"/>
          <w:marRight w:val="0"/>
          <w:marTop w:val="0"/>
          <w:marBottom w:val="0"/>
          <w:divBdr>
            <w:top w:val="none" w:sz="0" w:space="0" w:color="auto"/>
            <w:left w:val="none" w:sz="0" w:space="0" w:color="auto"/>
            <w:bottom w:val="none" w:sz="0" w:space="0" w:color="auto"/>
            <w:right w:val="none" w:sz="0" w:space="0" w:color="auto"/>
          </w:divBdr>
        </w:div>
        <w:div w:id="297146288">
          <w:marLeft w:val="0"/>
          <w:marRight w:val="0"/>
          <w:marTop w:val="0"/>
          <w:marBottom w:val="0"/>
          <w:divBdr>
            <w:top w:val="none" w:sz="0" w:space="0" w:color="auto"/>
            <w:left w:val="none" w:sz="0" w:space="0" w:color="auto"/>
            <w:bottom w:val="none" w:sz="0" w:space="0" w:color="auto"/>
            <w:right w:val="none" w:sz="0" w:space="0" w:color="auto"/>
          </w:divBdr>
        </w:div>
        <w:div w:id="312611061">
          <w:marLeft w:val="0"/>
          <w:marRight w:val="0"/>
          <w:marTop w:val="0"/>
          <w:marBottom w:val="0"/>
          <w:divBdr>
            <w:top w:val="none" w:sz="0" w:space="0" w:color="auto"/>
            <w:left w:val="none" w:sz="0" w:space="0" w:color="auto"/>
            <w:bottom w:val="none" w:sz="0" w:space="0" w:color="auto"/>
            <w:right w:val="none" w:sz="0" w:space="0" w:color="auto"/>
          </w:divBdr>
        </w:div>
        <w:div w:id="333069581">
          <w:marLeft w:val="0"/>
          <w:marRight w:val="0"/>
          <w:marTop w:val="0"/>
          <w:marBottom w:val="0"/>
          <w:divBdr>
            <w:top w:val="none" w:sz="0" w:space="0" w:color="auto"/>
            <w:left w:val="none" w:sz="0" w:space="0" w:color="auto"/>
            <w:bottom w:val="none" w:sz="0" w:space="0" w:color="auto"/>
            <w:right w:val="none" w:sz="0" w:space="0" w:color="auto"/>
          </w:divBdr>
        </w:div>
        <w:div w:id="519778162">
          <w:marLeft w:val="0"/>
          <w:marRight w:val="0"/>
          <w:marTop w:val="0"/>
          <w:marBottom w:val="0"/>
          <w:divBdr>
            <w:top w:val="none" w:sz="0" w:space="0" w:color="auto"/>
            <w:left w:val="none" w:sz="0" w:space="0" w:color="auto"/>
            <w:bottom w:val="none" w:sz="0" w:space="0" w:color="auto"/>
            <w:right w:val="none" w:sz="0" w:space="0" w:color="auto"/>
          </w:divBdr>
        </w:div>
        <w:div w:id="614867829">
          <w:marLeft w:val="0"/>
          <w:marRight w:val="0"/>
          <w:marTop w:val="0"/>
          <w:marBottom w:val="0"/>
          <w:divBdr>
            <w:top w:val="none" w:sz="0" w:space="0" w:color="auto"/>
            <w:left w:val="none" w:sz="0" w:space="0" w:color="auto"/>
            <w:bottom w:val="none" w:sz="0" w:space="0" w:color="auto"/>
            <w:right w:val="none" w:sz="0" w:space="0" w:color="auto"/>
          </w:divBdr>
        </w:div>
        <w:div w:id="621155041">
          <w:marLeft w:val="0"/>
          <w:marRight w:val="0"/>
          <w:marTop w:val="0"/>
          <w:marBottom w:val="0"/>
          <w:divBdr>
            <w:top w:val="none" w:sz="0" w:space="0" w:color="auto"/>
            <w:left w:val="none" w:sz="0" w:space="0" w:color="auto"/>
            <w:bottom w:val="none" w:sz="0" w:space="0" w:color="auto"/>
            <w:right w:val="none" w:sz="0" w:space="0" w:color="auto"/>
          </w:divBdr>
        </w:div>
        <w:div w:id="638340614">
          <w:marLeft w:val="0"/>
          <w:marRight w:val="0"/>
          <w:marTop w:val="0"/>
          <w:marBottom w:val="0"/>
          <w:divBdr>
            <w:top w:val="none" w:sz="0" w:space="0" w:color="auto"/>
            <w:left w:val="none" w:sz="0" w:space="0" w:color="auto"/>
            <w:bottom w:val="none" w:sz="0" w:space="0" w:color="auto"/>
            <w:right w:val="none" w:sz="0" w:space="0" w:color="auto"/>
          </w:divBdr>
        </w:div>
        <w:div w:id="642467207">
          <w:marLeft w:val="0"/>
          <w:marRight w:val="0"/>
          <w:marTop w:val="0"/>
          <w:marBottom w:val="0"/>
          <w:divBdr>
            <w:top w:val="none" w:sz="0" w:space="0" w:color="auto"/>
            <w:left w:val="none" w:sz="0" w:space="0" w:color="auto"/>
            <w:bottom w:val="none" w:sz="0" w:space="0" w:color="auto"/>
            <w:right w:val="none" w:sz="0" w:space="0" w:color="auto"/>
          </w:divBdr>
        </w:div>
        <w:div w:id="651907712">
          <w:marLeft w:val="0"/>
          <w:marRight w:val="0"/>
          <w:marTop w:val="0"/>
          <w:marBottom w:val="0"/>
          <w:divBdr>
            <w:top w:val="none" w:sz="0" w:space="0" w:color="auto"/>
            <w:left w:val="none" w:sz="0" w:space="0" w:color="auto"/>
            <w:bottom w:val="none" w:sz="0" w:space="0" w:color="auto"/>
            <w:right w:val="none" w:sz="0" w:space="0" w:color="auto"/>
          </w:divBdr>
        </w:div>
        <w:div w:id="677731843">
          <w:marLeft w:val="0"/>
          <w:marRight w:val="0"/>
          <w:marTop w:val="0"/>
          <w:marBottom w:val="0"/>
          <w:divBdr>
            <w:top w:val="none" w:sz="0" w:space="0" w:color="auto"/>
            <w:left w:val="none" w:sz="0" w:space="0" w:color="auto"/>
            <w:bottom w:val="none" w:sz="0" w:space="0" w:color="auto"/>
            <w:right w:val="none" w:sz="0" w:space="0" w:color="auto"/>
          </w:divBdr>
        </w:div>
        <w:div w:id="819151654">
          <w:marLeft w:val="0"/>
          <w:marRight w:val="0"/>
          <w:marTop w:val="0"/>
          <w:marBottom w:val="0"/>
          <w:divBdr>
            <w:top w:val="none" w:sz="0" w:space="0" w:color="auto"/>
            <w:left w:val="none" w:sz="0" w:space="0" w:color="auto"/>
            <w:bottom w:val="none" w:sz="0" w:space="0" w:color="auto"/>
            <w:right w:val="none" w:sz="0" w:space="0" w:color="auto"/>
          </w:divBdr>
        </w:div>
        <w:div w:id="1056663931">
          <w:marLeft w:val="0"/>
          <w:marRight w:val="0"/>
          <w:marTop w:val="0"/>
          <w:marBottom w:val="0"/>
          <w:divBdr>
            <w:top w:val="none" w:sz="0" w:space="0" w:color="auto"/>
            <w:left w:val="none" w:sz="0" w:space="0" w:color="auto"/>
            <w:bottom w:val="none" w:sz="0" w:space="0" w:color="auto"/>
            <w:right w:val="none" w:sz="0" w:space="0" w:color="auto"/>
          </w:divBdr>
        </w:div>
        <w:div w:id="1057973337">
          <w:marLeft w:val="0"/>
          <w:marRight w:val="0"/>
          <w:marTop w:val="0"/>
          <w:marBottom w:val="0"/>
          <w:divBdr>
            <w:top w:val="none" w:sz="0" w:space="0" w:color="auto"/>
            <w:left w:val="none" w:sz="0" w:space="0" w:color="auto"/>
            <w:bottom w:val="none" w:sz="0" w:space="0" w:color="auto"/>
            <w:right w:val="none" w:sz="0" w:space="0" w:color="auto"/>
          </w:divBdr>
        </w:div>
        <w:div w:id="1072628343">
          <w:marLeft w:val="0"/>
          <w:marRight w:val="0"/>
          <w:marTop w:val="0"/>
          <w:marBottom w:val="0"/>
          <w:divBdr>
            <w:top w:val="none" w:sz="0" w:space="0" w:color="auto"/>
            <w:left w:val="none" w:sz="0" w:space="0" w:color="auto"/>
            <w:bottom w:val="none" w:sz="0" w:space="0" w:color="auto"/>
            <w:right w:val="none" w:sz="0" w:space="0" w:color="auto"/>
          </w:divBdr>
        </w:div>
        <w:div w:id="1086152619">
          <w:marLeft w:val="0"/>
          <w:marRight w:val="0"/>
          <w:marTop w:val="0"/>
          <w:marBottom w:val="0"/>
          <w:divBdr>
            <w:top w:val="none" w:sz="0" w:space="0" w:color="auto"/>
            <w:left w:val="none" w:sz="0" w:space="0" w:color="auto"/>
            <w:bottom w:val="none" w:sz="0" w:space="0" w:color="auto"/>
            <w:right w:val="none" w:sz="0" w:space="0" w:color="auto"/>
          </w:divBdr>
        </w:div>
        <w:div w:id="1087338667">
          <w:marLeft w:val="0"/>
          <w:marRight w:val="0"/>
          <w:marTop w:val="0"/>
          <w:marBottom w:val="0"/>
          <w:divBdr>
            <w:top w:val="none" w:sz="0" w:space="0" w:color="auto"/>
            <w:left w:val="none" w:sz="0" w:space="0" w:color="auto"/>
            <w:bottom w:val="none" w:sz="0" w:space="0" w:color="auto"/>
            <w:right w:val="none" w:sz="0" w:space="0" w:color="auto"/>
          </w:divBdr>
        </w:div>
        <w:div w:id="1296371465">
          <w:marLeft w:val="0"/>
          <w:marRight w:val="0"/>
          <w:marTop w:val="0"/>
          <w:marBottom w:val="0"/>
          <w:divBdr>
            <w:top w:val="none" w:sz="0" w:space="0" w:color="auto"/>
            <w:left w:val="none" w:sz="0" w:space="0" w:color="auto"/>
            <w:bottom w:val="none" w:sz="0" w:space="0" w:color="auto"/>
            <w:right w:val="none" w:sz="0" w:space="0" w:color="auto"/>
          </w:divBdr>
        </w:div>
        <w:div w:id="1306859778">
          <w:marLeft w:val="0"/>
          <w:marRight w:val="0"/>
          <w:marTop w:val="0"/>
          <w:marBottom w:val="0"/>
          <w:divBdr>
            <w:top w:val="none" w:sz="0" w:space="0" w:color="auto"/>
            <w:left w:val="none" w:sz="0" w:space="0" w:color="auto"/>
            <w:bottom w:val="none" w:sz="0" w:space="0" w:color="auto"/>
            <w:right w:val="none" w:sz="0" w:space="0" w:color="auto"/>
          </w:divBdr>
        </w:div>
        <w:div w:id="1341160639">
          <w:marLeft w:val="0"/>
          <w:marRight w:val="0"/>
          <w:marTop w:val="0"/>
          <w:marBottom w:val="0"/>
          <w:divBdr>
            <w:top w:val="none" w:sz="0" w:space="0" w:color="auto"/>
            <w:left w:val="none" w:sz="0" w:space="0" w:color="auto"/>
            <w:bottom w:val="none" w:sz="0" w:space="0" w:color="auto"/>
            <w:right w:val="none" w:sz="0" w:space="0" w:color="auto"/>
          </w:divBdr>
        </w:div>
        <w:div w:id="1424837829">
          <w:marLeft w:val="0"/>
          <w:marRight w:val="0"/>
          <w:marTop w:val="0"/>
          <w:marBottom w:val="0"/>
          <w:divBdr>
            <w:top w:val="none" w:sz="0" w:space="0" w:color="auto"/>
            <w:left w:val="none" w:sz="0" w:space="0" w:color="auto"/>
            <w:bottom w:val="none" w:sz="0" w:space="0" w:color="auto"/>
            <w:right w:val="none" w:sz="0" w:space="0" w:color="auto"/>
          </w:divBdr>
        </w:div>
        <w:div w:id="1487740873">
          <w:marLeft w:val="0"/>
          <w:marRight w:val="0"/>
          <w:marTop w:val="0"/>
          <w:marBottom w:val="0"/>
          <w:divBdr>
            <w:top w:val="none" w:sz="0" w:space="0" w:color="auto"/>
            <w:left w:val="none" w:sz="0" w:space="0" w:color="auto"/>
            <w:bottom w:val="none" w:sz="0" w:space="0" w:color="auto"/>
            <w:right w:val="none" w:sz="0" w:space="0" w:color="auto"/>
          </w:divBdr>
        </w:div>
        <w:div w:id="1568496704">
          <w:marLeft w:val="0"/>
          <w:marRight w:val="0"/>
          <w:marTop w:val="0"/>
          <w:marBottom w:val="0"/>
          <w:divBdr>
            <w:top w:val="none" w:sz="0" w:space="0" w:color="auto"/>
            <w:left w:val="none" w:sz="0" w:space="0" w:color="auto"/>
            <w:bottom w:val="none" w:sz="0" w:space="0" w:color="auto"/>
            <w:right w:val="none" w:sz="0" w:space="0" w:color="auto"/>
          </w:divBdr>
        </w:div>
        <w:div w:id="1594849923">
          <w:marLeft w:val="0"/>
          <w:marRight w:val="0"/>
          <w:marTop w:val="0"/>
          <w:marBottom w:val="0"/>
          <w:divBdr>
            <w:top w:val="none" w:sz="0" w:space="0" w:color="auto"/>
            <w:left w:val="none" w:sz="0" w:space="0" w:color="auto"/>
            <w:bottom w:val="none" w:sz="0" w:space="0" w:color="auto"/>
            <w:right w:val="none" w:sz="0" w:space="0" w:color="auto"/>
          </w:divBdr>
        </w:div>
        <w:div w:id="1652059202">
          <w:marLeft w:val="0"/>
          <w:marRight w:val="0"/>
          <w:marTop w:val="0"/>
          <w:marBottom w:val="0"/>
          <w:divBdr>
            <w:top w:val="none" w:sz="0" w:space="0" w:color="auto"/>
            <w:left w:val="none" w:sz="0" w:space="0" w:color="auto"/>
            <w:bottom w:val="none" w:sz="0" w:space="0" w:color="auto"/>
            <w:right w:val="none" w:sz="0" w:space="0" w:color="auto"/>
          </w:divBdr>
        </w:div>
        <w:div w:id="1676419899">
          <w:marLeft w:val="0"/>
          <w:marRight w:val="0"/>
          <w:marTop w:val="0"/>
          <w:marBottom w:val="0"/>
          <w:divBdr>
            <w:top w:val="none" w:sz="0" w:space="0" w:color="auto"/>
            <w:left w:val="none" w:sz="0" w:space="0" w:color="auto"/>
            <w:bottom w:val="none" w:sz="0" w:space="0" w:color="auto"/>
            <w:right w:val="none" w:sz="0" w:space="0" w:color="auto"/>
          </w:divBdr>
        </w:div>
        <w:div w:id="1695038775">
          <w:marLeft w:val="0"/>
          <w:marRight w:val="0"/>
          <w:marTop w:val="0"/>
          <w:marBottom w:val="0"/>
          <w:divBdr>
            <w:top w:val="none" w:sz="0" w:space="0" w:color="auto"/>
            <w:left w:val="none" w:sz="0" w:space="0" w:color="auto"/>
            <w:bottom w:val="none" w:sz="0" w:space="0" w:color="auto"/>
            <w:right w:val="none" w:sz="0" w:space="0" w:color="auto"/>
          </w:divBdr>
        </w:div>
        <w:div w:id="1740134434">
          <w:marLeft w:val="0"/>
          <w:marRight w:val="0"/>
          <w:marTop w:val="0"/>
          <w:marBottom w:val="0"/>
          <w:divBdr>
            <w:top w:val="none" w:sz="0" w:space="0" w:color="auto"/>
            <w:left w:val="none" w:sz="0" w:space="0" w:color="auto"/>
            <w:bottom w:val="none" w:sz="0" w:space="0" w:color="auto"/>
            <w:right w:val="none" w:sz="0" w:space="0" w:color="auto"/>
          </w:divBdr>
        </w:div>
        <w:div w:id="1754474045">
          <w:marLeft w:val="0"/>
          <w:marRight w:val="0"/>
          <w:marTop w:val="0"/>
          <w:marBottom w:val="0"/>
          <w:divBdr>
            <w:top w:val="none" w:sz="0" w:space="0" w:color="auto"/>
            <w:left w:val="none" w:sz="0" w:space="0" w:color="auto"/>
            <w:bottom w:val="none" w:sz="0" w:space="0" w:color="auto"/>
            <w:right w:val="none" w:sz="0" w:space="0" w:color="auto"/>
          </w:divBdr>
        </w:div>
      </w:divsChild>
    </w:div>
    <w:div w:id="2018387324">
      <w:bodyDiv w:val="1"/>
      <w:marLeft w:val="0"/>
      <w:marRight w:val="0"/>
      <w:marTop w:val="0"/>
      <w:marBottom w:val="0"/>
      <w:divBdr>
        <w:top w:val="none" w:sz="0" w:space="0" w:color="auto"/>
        <w:left w:val="none" w:sz="0" w:space="0" w:color="auto"/>
        <w:bottom w:val="none" w:sz="0" w:space="0" w:color="auto"/>
        <w:right w:val="none" w:sz="0" w:space="0" w:color="auto"/>
      </w:divBdr>
    </w:div>
    <w:div w:id="2018654635">
      <w:bodyDiv w:val="1"/>
      <w:marLeft w:val="0"/>
      <w:marRight w:val="0"/>
      <w:marTop w:val="0"/>
      <w:marBottom w:val="0"/>
      <w:divBdr>
        <w:top w:val="none" w:sz="0" w:space="0" w:color="auto"/>
        <w:left w:val="none" w:sz="0" w:space="0" w:color="auto"/>
        <w:bottom w:val="none" w:sz="0" w:space="0" w:color="auto"/>
        <w:right w:val="none" w:sz="0" w:space="0" w:color="auto"/>
      </w:divBdr>
    </w:div>
    <w:div w:id="2022075397">
      <w:bodyDiv w:val="1"/>
      <w:marLeft w:val="0"/>
      <w:marRight w:val="0"/>
      <w:marTop w:val="0"/>
      <w:marBottom w:val="0"/>
      <w:divBdr>
        <w:top w:val="none" w:sz="0" w:space="0" w:color="auto"/>
        <w:left w:val="none" w:sz="0" w:space="0" w:color="auto"/>
        <w:bottom w:val="none" w:sz="0" w:space="0" w:color="auto"/>
        <w:right w:val="none" w:sz="0" w:space="0" w:color="auto"/>
      </w:divBdr>
    </w:div>
    <w:div w:id="2026516841">
      <w:bodyDiv w:val="1"/>
      <w:marLeft w:val="0"/>
      <w:marRight w:val="0"/>
      <w:marTop w:val="0"/>
      <w:marBottom w:val="0"/>
      <w:divBdr>
        <w:top w:val="none" w:sz="0" w:space="0" w:color="auto"/>
        <w:left w:val="none" w:sz="0" w:space="0" w:color="auto"/>
        <w:bottom w:val="none" w:sz="0" w:space="0" w:color="auto"/>
        <w:right w:val="none" w:sz="0" w:space="0" w:color="auto"/>
      </w:divBdr>
    </w:div>
    <w:div w:id="2026589322">
      <w:bodyDiv w:val="1"/>
      <w:marLeft w:val="0"/>
      <w:marRight w:val="0"/>
      <w:marTop w:val="0"/>
      <w:marBottom w:val="0"/>
      <w:divBdr>
        <w:top w:val="none" w:sz="0" w:space="0" w:color="auto"/>
        <w:left w:val="none" w:sz="0" w:space="0" w:color="auto"/>
        <w:bottom w:val="none" w:sz="0" w:space="0" w:color="auto"/>
        <w:right w:val="none" w:sz="0" w:space="0" w:color="auto"/>
      </w:divBdr>
    </w:div>
    <w:div w:id="2026662816">
      <w:bodyDiv w:val="1"/>
      <w:marLeft w:val="0"/>
      <w:marRight w:val="0"/>
      <w:marTop w:val="0"/>
      <w:marBottom w:val="0"/>
      <w:divBdr>
        <w:top w:val="none" w:sz="0" w:space="0" w:color="auto"/>
        <w:left w:val="none" w:sz="0" w:space="0" w:color="auto"/>
        <w:bottom w:val="none" w:sz="0" w:space="0" w:color="auto"/>
        <w:right w:val="none" w:sz="0" w:space="0" w:color="auto"/>
      </w:divBdr>
    </w:div>
    <w:div w:id="2034108581">
      <w:bodyDiv w:val="1"/>
      <w:marLeft w:val="0"/>
      <w:marRight w:val="0"/>
      <w:marTop w:val="0"/>
      <w:marBottom w:val="0"/>
      <w:divBdr>
        <w:top w:val="none" w:sz="0" w:space="0" w:color="auto"/>
        <w:left w:val="none" w:sz="0" w:space="0" w:color="auto"/>
        <w:bottom w:val="none" w:sz="0" w:space="0" w:color="auto"/>
        <w:right w:val="none" w:sz="0" w:space="0" w:color="auto"/>
      </w:divBdr>
    </w:div>
    <w:div w:id="2040088583">
      <w:bodyDiv w:val="1"/>
      <w:marLeft w:val="0"/>
      <w:marRight w:val="0"/>
      <w:marTop w:val="0"/>
      <w:marBottom w:val="0"/>
      <w:divBdr>
        <w:top w:val="none" w:sz="0" w:space="0" w:color="auto"/>
        <w:left w:val="none" w:sz="0" w:space="0" w:color="auto"/>
        <w:bottom w:val="none" w:sz="0" w:space="0" w:color="auto"/>
        <w:right w:val="none" w:sz="0" w:space="0" w:color="auto"/>
      </w:divBdr>
    </w:div>
    <w:div w:id="2042120902">
      <w:bodyDiv w:val="1"/>
      <w:marLeft w:val="0"/>
      <w:marRight w:val="0"/>
      <w:marTop w:val="0"/>
      <w:marBottom w:val="0"/>
      <w:divBdr>
        <w:top w:val="none" w:sz="0" w:space="0" w:color="auto"/>
        <w:left w:val="none" w:sz="0" w:space="0" w:color="auto"/>
        <w:bottom w:val="none" w:sz="0" w:space="0" w:color="auto"/>
        <w:right w:val="none" w:sz="0" w:space="0" w:color="auto"/>
      </w:divBdr>
    </w:div>
    <w:div w:id="2045247886">
      <w:bodyDiv w:val="1"/>
      <w:marLeft w:val="0"/>
      <w:marRight w:val="0"/>
      <w:marTop w:val="0"/>
      <w:marBottom w:val="0"/>
      <w:divBdr>
        <w:top w:val="none" w:sz="0" w:space="0" w:color="auto"/>
        <w:left w:val="none" w:sz="0" w:space="0" w:color="auto"/>
        <w:bottom w:val="none" w:sz="0" w:space="0" w:color="auto"/>
        <w:right w:val="none" w:sz="0" w:space="0" w:color="auto"/>
      </w:divBdr>
    </w:div>
    <w:div w:id="2049644396">
      <w:bodyDiv w:val="1"/>
      <w:marLeft w:val="0"/>
      <w:marRight w:val="0"/>
      <w:marTop w:val="0"/>
      <w:marBottom w:val="0"/>
      <w:divBdr>
        <w:top w:val="none" w:sz="0" w:space="0" w:color="auto"/>
        <w:left w:val="none" w:sz="0" w:space="0" w:color="auto"/>
        <w:bottom w:val="none" w:sz="0" w:space="0" w:color="auto"/>
        <w:right w:val="none" w:sz="0" w:space="0" w:color="auto"/>
      </w:divBdr>
    </w:div>
    <w:div w:id="2051106183">
      <w:bodyDiv w:val="1"/>
      <w:marLeft w:val="0"/>
      <w:marRight w:val="0"/>
      <w:marTop w:val="0"/>
      <w:marBottom w:val="0"/>
      <w:divBdr>
        <w:top w:val="none" w:sz="0" w:space="0" w:color="auto"/>
        <w:left w:val="none" w:sz="0" w:space="0" w:color="auto"/>
        <w:bottom w:val="none" w:sz="0" w:space="0" w:color="auto"/>
        <w:right w:val="none" w:sz="0" w:space="0" w:color="auto"/>
      </w:divBdr>
    </w:div>
    <w:div w:id="2052807056">
      <w:bodyDiv w:val="1"/>
      <w:marLeft w:val="0"/>
      <w:marRight w:val="0"/>
      <w:marTop w:val="0"/>
      <w:marBottom w:val="0"/>
      <w:divBdr>
        <w:top w:val="none" w:sz="0" w:space="0" w:color="auto"/>
        <w:left w:val="none" w:sz="0" w:space="0" w:color="auto"/>
        <w:bottom w:val="none" w:sz="0" w:space="0" w:color="auto"/>
        <w:right w:val="none" w:sz="0" w:space="0" w:color="auto"/>
      </w:divBdr>
    </w:div>
    <w:div w:id="2056925677">
      <w:bodyDiv w:val="1"/>
      <w:marLeft w:val="0"/>
      <w:marRight w:val="0"/>
      <w:marTop w:val="0"/>
      <w:marBottom w:val="0"/>
      <w:divBdr>
        <w:top w:val="none" w:sz="0" w:space="0" w:color="auto"/>
        <w:left w:val="none" w:sz="0" w:space="0" w:color="auto"/>
        <w:bottom w:val="none" w:sz="0" w:space="0" w:color="auto"/>
        <w:right w:val="none" w:sz="0" w:space="0" w:color="auto"/>
      </w:divBdr>
    </w:div>
    <w:div w:id="2061782330">
      <w:bodyDiv w:val="1"/>
      <w:marLeft w:val="0"/>
      <w:marRight w:val="0"/>
      <w:marTop w:val="0"/>
      <w:marBottom w:val="0"/>
      <w:divBdr>
        <w:top w:val="none" w:sz="0" w:space="0" w:color="auto"/>
        <w:left w:val="none" w:sz="0" w:space="0" w:color="auto"/>
        <w:bottom w:val="none" w:sz="0" w:space="0" w:color="auto"/>
        <w:right w:val="none" w:sz="0" w:space="0" w:color="auto"/>
      </w:divBdr>
    </w:div>
    <w:div w:id="2062434082">
      <w:bodyDiv w:val="1"/>
      <w:marLeft w:val="0"/>
      <w:marRight w:val="0"/>
      <w:marTop w:val="0"/>
      <w:marBottom w:val="0"/>
      <w:divBdr>
        <w:top w:val="none" w:sz="0" w:space="0" w:color="auto"/>
        <w:left w:val="none" w:sz="0" w:space="0" w:color="auto"/>
        <w:bottom w:val="none" w:sz="0" w:space="0" w:color="auto"/>
        <w:right w:val="none" w:sz="0" w:space="0" w:color="auto"/>
      </w:divBdr>
    </w:div>
    <w:div w:id="2074348152">
      <w:bodyDiv w:val="1"/>
      <w:marLeft w:val="0"/>
      <w:marRight w:val="0"/>
      <w:marTop w:val="0"/>
      <w:marBottom w:val="0"/>
      <w:divBdr>
        <w:top w:val="none" w:sz="0" w:space="0" w:color="auto"/>
        <w:left w:val="none" w:sz="0" w:space="0" w:color="auto"/>
        <w:bottom w:val="none" w:sz="0" w:space="0" w:color="auto"/>
        <w:right w:val="none" w:sz="0" w:space="0" w:color="auto"/>
      </w:divBdr>
    </w:div>
    <w:div w:id="2078436986">
      <w:bodyDiv w:val="1"/>
      <w:marLeft w:val="0"/>
      <w:marRight w:val="0"/>
      <w:marTop w:val="0"/>
      <w:marBottom w:val="0"/>
      <w:divBdr>
        <w:top w:val="none" w:sz="0" w:space="0" w:color="auto"/>
        <w:left w:val="none" w:sz="0" w:space="0" w:color="auto"/>
        <w:bottom w:val="none" w:sz="0" w:space="0" w:color="auto"/>
        <w:right w:val="none" w:sz="0" w:space="0" w:color="auto"/>
      </w:divBdr>
    </w:div>
    <w:div w:id="2084451889">
      <w:bodyDiv w:val="1"/>
      <w:marLeft w:val="0"/>
      <w:marRight w:val="0"/>
      <w:marTop w:val="0"/>
      <w:marBottom w:val="0"/>
      <w:divBdr>
        <w:top w:val="none" w:sz="0" w:space="0" w:color="auto"/>
        <w:left w:val="none" w:sz="0" w:space="0" w:color="auto"/>
        <w:bottom w:val="none" w:sz="0" w:space="0" w:color="auto"/>
        <w:right w:val="none" w:sz="0" w:space="0" w:color="auto"/>
      </w:divBdr>
    </w:div>
    <w:div w:id="2084713370">
      <w:bodyDiv w:val="1"/>
      <w:marLeft w:val="0"/>
      <w:marRight w:val="0"/>
      <w:marTop w:val="0"/>
      <w:marBottom w:val="0"/>
      <w:divBdr>
        <w:top w:val="none" w:sz="0" w:space="0" w:color="auto"/>
        <w:left w:val="none" w:sz="0" w:space="0" w:color="auto"/>
        <w:bottom w:val="none" w:sz="0" w:space="0" w:color="auto"/>
        <w:right w:val="none" w:sz="0" w:space="0" w:color="auto"/>
      </w:divBdr>
    </w:div>
    <w:div w:id="2088532399">
      <w:bodyDiv w:val="1"/>
      <w:marLeft w:val="0"/>
      <w:marRight w:val="0"/>
      <w:marTop w:val="0"/>
      <w:marBottom w:val="0"/>
      <w:divBdr>
        <w:top w:val="none" w:sz="0" w:space="0" w:color="auto"/>
        <w:left w:val="none" w:sz="0" w:space="0" w:color="auto"/>
        <w:bottom w:val="none" w:sz="0" w:space="0" w:color="auto"/>
        <w:right w:val="none" w:sz="0" w:space="0" w:color="auto"/>
      </w:divBdr>
    </w:div>
    <w:div w:id="2098939072">
      <w:bodyDiv w:val="1"/>
      <w:marLeft w:val="0"/>
      <w:marRight w:val="0"/>
      <w:marTop w:val="0"/>
      <w:marBottom w:val="0"/>
      <w:divBdr>
        <w:top w:val="none" w:sz="0" w:space="0" w:color="auto"/>
        <w:left w:val="none" w:sz="0" w:space="0" w:color="auto"/>
        <w:bottom w:val="none" w:sz="0" w:space="0" w:color="auto"/>
        <w:right w:val="none" w:sz="0" w:space="0" w:color="auto"/>
      </w:divBdr>
    </w:div>
    <w:div w:id="2102875475">
      <w:bodyDiv w:val="1"/>
      <w:marLeft w:val="0"/>
      <w:marRight w:val="0"/>
      <w:marTop w:val="0"/>
      <w:marBottom w:val="0"/>
      <w:divBdr>
        <w:top w:val="none" w:sz="0" w:space="0" w:color="auto"/>
        <w:left w:val="none" w:sz="0" w:space="0" w:color="auto"/>
        <w:bottom w:val="none" w:sz="0" w:space="0" w:color="auto"/>
        <w:right w:val="none" w:sz="0" w:space="0" w:color="auto"/>
      </w:divBdr>
    </w:div>
    <w:div w:id="2119832765">
      <w:bodyDiv w:val="1"/>
      <w:marLeft w:val="0"/>
      <w:marRight w:val="0"/>
      <w:marTop w:val="0"/>
      <w:marBottom w:val="0"/>
      <w:divBdr>
        <w:top w:val="none" w:sz="0" w:space="0" w:color="auto"/>
        <w:left w:val="none" w:sz="0" w:space="0" w:color="auto"/>
        <w:bottom w:val="none" w:sz="0" w:space="0" w:color="auto"/>
        <w:right w:val="none" w:sz="0" w:space="0" w:color="auto"/>
      </w:divBdr>
    </w:div>
    <w:div w:id="2119910211">
      <w:bodyDiv w:val="1"/>
      <w:marLeft w:val="0"/>
      <w:marRight w:val="0"/>
      <w:marTop w:val="0"/>
      <w:marBottom w:val="0"/>
      <w:divBdr>
        <w:top w:val="none" w:sz="0" w:space="0" w:color="auto"/>
        <w:left w:val="none" w:sz="0" w:space="0" w:color="auto"/>
        <w:bottom w:val="none" w:sz="0" w:space="0" w:color="auto"/>
        <w:right w:val="none" w:sz="0" w:space="0" w:color="auto"/>
      </w:divBdr>
    </w:div>
    <w:div w:id="2135630873">
      <w:bodyDiv w:val="1"/>
      <w:marLeft w:val="0"/>
      <w:marRight w:val="0"/>
      <w:marTop w:val="0"/>
      <w:marBottom w:val="0"/>
      <w:divBdr>
        <w:top w:val="none" w:sz="0" w:space="0" w:color="auto"/>
        <w:left w:val="none" w:sz="0" w:space="0" w:color="auto"/>
        <w:bottom w:val="none" w:sz="0" w:space="0" w:color="auto"/>
        <w:right w:val="none" w:sz="0" w:space="0" w:color="auto"/>
      </w:divBdr>
    </w:div>
    <w:div w:id="2135639058">
      <w:bodyDiv w:val="1"/>
      <w:marLeft w:val="0"/>
      <w:marRight w:val="0"/>
      <w:marTop w:val="0"/>
      <w:marBottom w:val="0"/>
      <w:divBdr>
        <w:top w:val="none" w:sz="0" w:space="0" w:color="auto"/>
        <w:left w:val="none" w:sz="0" w:space="0" w:color="auto"/>
        <w:bottom w:val="none" w:sz="0" w:space="0" w:color="auto"/>
        <w:right w:val="none" w:sz="0" w:space="0" w:color="auto"/>
      </w:divBdr>
    </w:div>
    <w:div w:id="2138183225">
      <w:bodyDiv w:val="1"/>
      <w:marLeft w:val="0"/>
      <w:marRight w:val="0"/>
      <w:marTop w:val="0"/>
      <w:marBottom w:val="0"/>
      <w:divBdr>
        <w:top w:val="none" w:sz="0" w:space="0" w:color="auto"/>
        <w:left w:val="none" w:sz="0" w:space="0" w:color="auto"/>
        <w:bottom w:val="none" w:sz="0" w:space="0" w:color="auto"/>
        <w:right w:val="none" w:sz="0" w:space="0" w:color="auto"/>
      </w:divBdr>
    </w:div>
    <w:div w:id="2140099323">
      <w:bodyDiv w:val="1"/>
      <w:marLeft w:val="0"/>
      <w:marRight w:val="0"/>
      <w:marTop w:val="0"/>
      <w:marBottom w:val="0"/>
      <w:divBdr>
        <w:top w:val="none" w:sz="0" w:space="0" w:color="auto"/>
        <w:left w:val="none" w:sz="0" w:space="0" w:color="auto"/>
        <w:bottom w:val="none" w:sz="0" w:space="0" w:color="auto"/>
        <w:right w:val="none" w:sz="0" w:space="0" w:color="auto"/>
      </w:divBdr>
    </w:div>
    <w:div w:id="2140950947">
      <w:bodyDiv w:val="1"/>
      <w:marLeft w:val="0"/>
      <w:marRight w:val="0"/>
      <w:marTop w:val="0"/>
      <w:marBottom w:val="0"/>
      <w:divBdr>
        <w:top w:val="none" w:sz="0" w:space="0" w:color="auto"/>
        <w:left w:val="none" w:sz="0" w:space="0" w:color="auto"/>
        <w:bottom w:val="none" w:sz="0" w:space="0" w:color="auto"/>
        <w:right w:val="none" w:sz="0" w:space="0" w:color="auto"/>
      </w:divBdr>
    </w:div>
    <w:div w:id="214349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chnical@isoproc.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isoproc.be" TargetMode="External"/><Relationship Id="rId1" Type="http://schemas.openxmlformats.org/officeDocument/2006/relationships/hyperlink" Target="mailto:info@isoproc.b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ISOPROC-2019-blauw">
  <a:themeElements>
    <a:clrScheme name="ISOPROC-2019-blauw">
      <a:dk1>
        <a:sysClr val="windowText" lastClr="000000"/>
      </a:dk1>
      <a:lt1>
        <a:srgbClr val="FFFFFF"/>
      </a:lt1>
      <a:dk2>
        <a:srgbClr val="5D9AA1"/>
      </a:dk2>
      <a:lt2>
        <a:srgbClr val="8AB7BC"/>
      </a:lt2>
      <a:accent1>
        <a:srgbClr val="5D9AA1"/>
      </a:accent1>
      <a:accent2>
        <a:srgbClr val="A3BF31"/>
      </a:accent2>
      <a:accent3>
        <a:srgbClr val="980069"/>
      </a:accent3>
      <a:accent4>
        <a:srgbClr val="FFC425"/>
      </a:accent4>
      <a:accent5>
        <a:srgbClr val="DE7C00"/>
      </a:accent5>
      <a:accent6>
        <a:srgbClr val="F05133"/>
      </a:accent6>
      <a:hlink>
        <a:srgbClr val="5D9AA1"/>
      </a:hlink>
      <a:folHlink>
        <a:srgbClr val="980069"/>
      </a:folHlink>
    </a:clrScheme>
    <a:fontScheme name="ISOPROC-2019">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SOPROC-2019-blauw" id="{A6424756-DBAF-47D3-B98F-603D753CAC72}" vid="{650EAEDD-D8D4-4793-B26E-6055273DF8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2010-12-01T00:00:00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7F41B244118447A2ADD66A1C69B4BC" ma:contentTypeVersion="35" ma:contentTypeDescription="Een nieuw document maken." ma:contentTypeScope="" ma:versionID="40c7224c7f3e92c50006c88f5286ccc3">
  <xsd:schema xmlns:xsd="http://www.w3.org/2001/XMLSchema" xmlns:xs="http://www.w3.org/2001/XMLSchema" xmlns:p="http://schemas.microsoft.com/office/2006/metadata/properties" xmlns:ns2="8dd4aa39-2cc7-43e5-9b40-f699e142f926" xmlns:ns3="3a5ea43b-212a-44c1-9526-2e9d31f13eb9" targetNamespace="http://schemas.microsoft.com/office/2006/metadata/properties" ma:root="true" ma:fieldsID="144e853c2dba21ddd0ee9b398fc11c3a" ns2:_="" ns3:_="">
    <xsd:import namespace="8dd4aa39-2cc7-43e5-9b40-f699e142f926"/>
    <xsd:import namespace="3a5ea43b-212a-44c1-9526-2e9d31f13e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Plaats" minOccurs="0"/>
                <xsd:element ref="ns2:Openbaar" minOccurs="0"/>
                <xsd:element ref="ns3:TaxKeywordTaxHTField" minOccurs="0"/>
                <xsd:element ref="ns3:TaxCatchAll" minOccurs="0"/>
                <xsd:element ref="ns3:SharedWithUsers" minOccurs="0"/>
                <xsd:element ref="ns3:SharedWithDetails" minOccurs="0"/>
                <xsd:element ref="ns2:ie30b0113e9e44259e1efd1a383c79a9" minOccurs="0"/>
                <xsd:element ref="ns2:k3b8afc890c9414984d55b07212c604e" minOccurs="0"/>
                <xsd:element ref="ns2:MediaServiceAutoKeyPoints" minOccurs="0"/>
                <xsd:element ref="ns2:MediaServiceKeyPoints" minOccurs="0"/>
                <xsd:element ref="ns2:MediaLengthInSeconds" minOccurs="0"/>
                <xsd:element ref="ns2:Afbeelding" minOccurs="0"/>
                <xsd:element ref="ns2:lcf76f155ced4ddcb4097134ff3c332f" minOccurs="0"/>
                <xsd:element ref="ns2:_Flow_SignoffStatus" minOccurs="0"/>
                <xsd:element ref="ns2:MediaServiceObjectDetectorVersions" minOccurs="0"/>
                <xsd:element ref="ns2:MediaServiceSearchProperties" minOccurs="0"/>
                <xsd:element ref="ns2:MediaServiceBillingMetadata" minOccurs="0"/>
                <xsd:element ref="ns2:Stel_x0020_jezelf_x0020_kort_x0020_voor_x0020__x002d__x0020_Wie_x0020_ben_x0020_je_x003f_" minOccurs="0"/>
                <xsd:element ref="ns2:Job_x0020_bij_x0020_ISOPROC_x003f_" minOccurs="0"/>
                <xsd:element ref="ns2:Mijn_x0020_grootste_x0020_passie_x0020_is_x002e__x002e__x002e_" minOccurs="0"/>
                <xsd:element ref="ns2:Mijn_x0020_motto_x0020_is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aa39-2cc7-43e5-9b40-f699e142f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Plaats" ma:index="16" nillable="true" ma:displayName="Plaats" ma:format="Hyperlink" ma:internalName="Plaats">
      <xsd:complexType>
        <xsd:complexContent>
          <xsd:extension base="dms:URL">
            <xsd:sequence>
              <xsd:element name="Url" type="dms:ValidUrl" minOccurs="0" nillable="true"/>
              <xsd:element name="Description" type="xsd:string" nillable="true"/>
            </xsd:sequence>
          </xsd:extension>
        </xsd:complexContent>
      </xsd:complexType>
    </xsd:element>
    <xsd:element name="Openbaar" ma:index="17" nillable="true" ma:displayName="Publiek_oud" ma:default="Niet openbaar" ma:format="RadioButtons" ma:indexed="true" ma:internalName="Openbaar">
      <xsd:simpleType>
        <xsd:restriction base="dms:Choice">
          <xsd:enumeration value="Niet openbaar"/>
          <xsd:enumeration value="Openbaar"/>
        </xsd:restriction>
      </xsd:simpleType>
    </xsd:element>
    <xsd:element name="ie30b0113e9e44259e1efd1a383c79a9" ma:index="24" nillable="true" ma:taxonomy="true" ma:internalName="ie30b0113e9e44259e1efd1a383c79a9" ma:taxonomyFieldName="Producten_x0020_ISOPROC" ma:displayName="Producten ISOPROC" ma:default="" ma:fieldId="{2e30b011-3e9e-4425-9e1e-fd1a383c79a9}" ma:taxonomyMulti="true" ma:sspId="c6bf64ed-a251-42f4-ac05-54967d5e525e" ma:termSetId="b77a691e-d80d-4134-8aad-96728f86d23b" ma:anchorId="00000000-0000-0000-0000-000000000000" ma:open="true" ma:isKeyword="false">
      <xsd:complexType>
        <xsd:sequence>
          <xsd:element ref="pc:Terms" minOccurs="0" maxOccurs="1"/>
        </xsd:sequence>
      </xsd:complexType>
    </xsd:element>
    <xsd:element name="k3b8afc890c9414984d55b07212c604e" ma:index="26" nillable="true" ma:taxonomy="true" ma:internalName="k3b8afc890c9414984d55b07212c604e" ma:taxonomyFieldName="Bouwinfo" ma:displayName="Bouwinfo" ma:default="" ma:fieldId="{43b8afc8-90c9-4149-84d5-5b07212c604e}" ma:taxonomyMulti="true" ma:sspId="c6bf64ed-a251-42f4-ac05-54967d5e525e" ma:termSetId="9ff58c47-7ba0-44e9-b6f8-5b878db2b194" ma:anchorId="00000000-0000-0000-0000-000000000000" ma:open="true" ma:isKeyword="false">
      <xsd:complexType>
        <xsd:sequence>
          <xsd:element ref="pc:Terms" minOccurs="0" maxOccurs="1"/>
        </xsd:sequence>
      </xsd:complex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Afbeelding" ma:index="30" nillable="true" ma:displayName="Afbeelding" ma:format="Image" ma:internalName="Afbeelding">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c6bf64ed-a251-42f4-ac05-54967d5e525e" ma:termSetId="09814cd3-568e-fe90-9814-8d621ff8fb84" ma:anchorId="fba54fb3-c3e1-fe81-a776-ca4b69148c4d" ma:open="true" ma:isKeyword="false">
      <xsd:complexType>
        <xsd:sequence>
          <xsd:element ref="pc:Terms" minOccurs="0" maxOccurs="1"/>
        </xsd:sequence>
      </xsd:complexType>
    </xsd:element>
    <xsd:element name="_Flow_SignoffStatus" ma:index="33" nillable="true" ma:displayName="Afmeldingsstatus" ma:internalName="Afmeldingsstatus">
      <xsd:simpleType>
        <xsd:restriction base="dms:Text"/>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BillingMetadata" ma:index="36" nillable="true" ma:displayName="MediaServiceBillingMetadata" ma:hidden="true" ma:internalName="MediaServiceBillingMetadata" ma:readOnly="true">
      <xsd:simpleType>
        <xsd:restriction base="dms:Note"/>
      </xsd:simpleType>
    </xsd:element>
    <xsd:element name="Stel_x0020_jezelf_x0020_kort_x0020_voor_x0020__x002d__x0020_Wie_x0020_ben_x0020_je_x003f_" ma:index="37" nillable="true" ma:displayName="Stel jezelf kort voor - Wie ben je?" ma:internalName="Stel_x0020_jezelf_x0020_kort_x0020_voor_x0020__x002d__x0020_Wie_x0020_ben_x0020_je_x003f_">
      <xsd:simpleType>
        <xsd:restriction base="dms:Note">
          <xsd:maxLength value="255"/>
        </xsd:restriction>
      </xsd:simpleType>
    </xsd:element>
    <xsd:element name="Job_x0020_bij_x0020_ISOPROC_x003f_" ma:index="38" nillable="true" ma:displayName="Job bij ISOPROC?" ma:internalName="Job_x0020_bij_x0020_ISOPROC_x003f_">
      <xsd:simpleType>
        <xsd:restriction base="dms:Text">
          <xsd:maxLength value="255"/>
        </xsd:restriction>
      </xsd:simpleType>
    </xsd:element>
    <xsd:element name="Mijn_x0020_grootste_x0020_passie_x0020_is_x002e__x002e__x002e_" ma:index="39" nillable="true" ma:displayName="Mijn grootste passie is..." ma:internalName="Mijn_x0020_grootste_x0020_passie_x0020_is_x002e__x002e__x002e_">
      <xsd:simpleType>
        <xsd:restriction base="dms:Note">
          <xsd:maxLength value="255"/>
        </xsd:restriction>
      </xsd:simpleType>
    </xsd:element>
    <xsd:element name="Mijn_x0020_motto_x0020_is_x003a_" ma:index="40" nillable="true" ma:displayName="Mijn motto is:" ma:internalName="Mijn_x0020_motto_x0020_is_x003a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5ea43b-212a-44c1-9526-2e9d31f13eb9" elementFormDefault="qualified">
    <xsd:import namespace="http://schemas.microsoft.com/office/2006/documentManagement/types"/>
    <xsd:import namespace="http://schemas.microsoft.com/office/infopath/2007/PartnerControls"/>
    <xsd:element name="TaxKeywordTaxHTField" ma:index="19" nillable="true" ma:taxonomy="true" ma:internalName="TaxKeywordTaxHTField" ma:taxonomyFieldName="TaxKeyword" ma:displayName="Ondernemingstrefwoorden" ma:fieldId="{23f27201-bee3-471e-b2e7-b64fd8b7ca38}" ma:taxonomyMulti="true" ma:sspId="c6bf64ed-a251-42f4-ac05-54967d5e525e"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45ad7981-4a77-4681-8e54-d5a7b8d3faa8}" ma:internalName="TaxCatchAll" ma:showField="CatchAllData" ma:web="3a5ea43b-212a-44c1-9526-2e9d31f13e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b:Source>
    <b:Tag>Kas83</b:Tag>
    <b:SourceType>JournalArticle</b:SourceType>
    <b:Guid>{4BC759FA-17F1-49E2-B322-9B11BD8F92AD}</b:Guid>
    <b:Author>
      <b:Author>
        <b:NameList>
          <b:Person>
            <b:Last>Kasten</b:Last>
            <b:First>F.</b:First>
          </b:Person>
        </b:NameList>
      </b:Author>
    </b:Author>
    <b:Title>Parametrisierung der Globalstrahlung durch Bedeckungsgrad und Trubungsfaktor</b:Title>
    <b:Year>1983</b:Year>
    <b:Volume>20</b:Volume>
    <b:Issue>49</b:Issue>
    <b:JournalName>Annalen der Meteorologie</b:JournalName>
    <b:StandardNumber>ISSN 0072-4122</b:StandardNumber>
    <b:RefOrder>2</b:RefOrder>
  </b:Source>
  <b:Source>
    <b:Tag>Per92</b:Tag>
    <b:SourceType>BookSection</b:SourceType>
    <b:Guid>{97B3CB8D-B72C-4DF5-B950-AABC672A050B}</b:Guid>
    <b:Author>
      <b:Author>
        <b:NameList>
          <b:Person>
            <b:Last>Perez</b:Last>
            <b:First>R.</b:First>
          </b:Person>
          <b:Person>
            <b:Last>Ineichen</b:Last>
            <b:First>P.</b:First>
          </b:Person>
          <b:Person>
            <b:Last>Maxwell</b:Last>
            <b:First>E.</b:First>
          </b:Person>
          <b:Person>
            <b:Last>Seals</b:Last>
            <b:First>R.</b:First>
          </b:Person>
          <b:Person>
            <b:Last>Zelenka</b:Last>
            <b:First>A.</b:First>
          </b:Person>
        </b:NameList>
      </b:Author>
    </b:Author>
    <b:Title>Dynamic Global-to-Direct Irradiance Conversion Models</b:Title>
    <b:Year>1992</b:Year>
    <b:Publisher>ASHRAE</b:Publisher>
    <b:Pages>354-369</b:Pages>
    <b:BookTitle>ASHRAE Transactions-Research Series</b:BookTitle>
    <b:RefOrder>3</b:RefOrder>
  </b:Source>
  <b:Source>
    <b:Tag>Eyk11</b:Tag>
    <b:SourceType>Misc</b:SourceType>
    <b:Guid>{5811D7DA-EEDD-4274-ABC1-7ADF2D843488}</b:Guid>
    <b:Title>Compacte houten platte daken met vochtgestuurde damprem: hygrische optimalisatie van de dakstructuur aan de hand van dynamische computersimulaties</b:Title>
    <b:Year>2011</b:Year>
    <b:City>Gent</b:City>
    <b:Author>
      <b:Author>
        <b:NameList>
          <b:Person>
            <b:Last>Eykens</b:Last>
            <b:First>Jonas</b:First>
          </b:Person>
        </b:NameList>
      </b:Author>
    </b:Author>
    <b:RefOrder>17</b:RefOrder>
  </b:Source>
  <b:Source>
    <b:Tag>WTC04</b:Tag>
    <b:SourceType>Report</b:SourceType>
    <b:Guid>{EA856392-9536-4660-B8B3-A660C4B1CC85}</b:Guid>
    <b:Author>
      <b:Author>
        <b:Corporate>WTCB - KUL - Wenk - UGent</b:Corporate>
      </b:Author>
    </b:Author>
    <b:Title>Vochtproblemen in daken</b:Title>
    <b:Year>2004</b:Year>
    <b:Publisher>WTCB - KUL - Wenk - UGent</b:Publisher>
    <b:ShortTitle>CC CIF – 966</b:ShortTitle>
    <b:RefOrder>4</b:RefOrder>
  </b:Source>
  <b:Source>
    <b:Tag>Tso95</b:Tag>
    <b:SourceType>ConferenceProceedings</b:SourceType>
    <b:Guid>{FF7757DC-D2C5-415C-83BA-824E036229B9}</b:Guid>
    <b:Author>
      <b:Author>
        <b:NameList>
          <b:Person>
            <b:Last>Tsongas</b:Last>
            <b:First>G.</b:First>
            <b:Middle>A.</b:Middle>
          </b:Person>
          <b:Person>
            <b:Last>Olson</b:Last>
            <b:First>J.</b:First>
          </b:Person>
        </b:NameList>
      </b:Author>
    </b:Author>
    <b:Title>Tri State homes: a case study of extensive decay in the walls of older manufactured homes with an exterior vapor retarder.</b:Title>
    <b:City>Atlanta GA</b:City>
    <b:Year>1995</b:Year>
    <b:Publisher>American Society of Heating, Refrigerating and Air-Conditioning Engineers</b:Publisher>
    <b:ConferenceName>Proceedings, thermal performance of the exterior envelopes of buildings VI</b:ConferenceName>
    <b:Pages>207-218</b:Pages>
    <b:RefOrder>6</b:RefOrder>
  </b:Source>
  <b:Source>
    <b:Tag>Kum96</b:Tag>
    <b:SourceType>JournalArticle</b:SourceType>
    <b:Guid>{7F4E5820-34C8-42D6-9102-8DDAADA31F0A}</b:Guid>
    <b:Author>
      <b:Author>
        <b:NameList>
          <b:Person>
            <b:Last>Kumaran</b:Last>
            <b:First>M.</b:First>
            <b:Middle>K.</b:Middle>
          </b:Person>
        </b:NameList>
      </b:Author>
    </b:Author>
    <b:Title>taking guess work out of placing air/vapor barriers</b:Title>
    <b:Year>1996</b:Year>
    <b:JournalName>Canadian Consulting Engineer</b:JournalName>
    <b:Month>March/April</b:Month>
    <b:Pages>32-34</b:Pages>
    <b:RefOrder>7</b:RefOrder>
  </b:Source>
  <b:Source>
    <b:Tag>Jan98</b:Tag>
    <b:SourceType>Misc</b:SourceType>
    <b:Guid>{8F30AB2F-899B-4B80-A3CE-D48813BDF78F}</b:Guid>
    <b:Author>
      <b:Author>
        <b:NameList>
          <b:Person>
            <b:Last>Janssens</b:Last>
            <b:First>Arnold</b:First>
          </b:Person>
        </b:NameList>
      </b:Author>
    </b:Author>
    <b:Title>Reliable Control of Intersttial Condensation in Lightweight Roof Systems - Calculation and Assessment Methods</b:Title>
    <b:Year>1998</b:Year>
    <b:Publisher>Katholieke Universiteit Leuven - Faculteit Toegepaste Wetenschappen</b:Publisher>
    <b:City>Leuven, Belgium</b:City>
    <b:Comments>PhD Thesis</b:Comments>
    <b:RefOrder>8</b:RefOrder>
  </b:Source>
  <b:Source>
    <b:Tag>Fra89</b:Tag>
    <b:SourceType>JournalArticle</b:SourceType>
    <b:Guid>{254D9C5A-947F-481B-A629-54AE2FBB1D64}</b:Guid>
    <b:Author>
      <b:Author>
        <b:Corporate>IBP</b:Corporate>
      </b:Author>
    </b:Author>
    <b:Year>1989</b:Year>
    <b:City>Stuttgart, Germany</b:City>
    <b:Issue>12</b:Issue>
    <b:JournalName>Deutsche BauZeitschrift</b:JournalName>
    <b:Publisher>Fraunhofer-Institut für Bauphysik</b:Publisher>
    <b:RefOrder>9</b:RefOrder>
  </b:Source>
  <b:Source>
    <b:Tag>Kün99</b:Tag>
    <b:SourceType>Misc</b:SourceType>
    <b:Guid>{4081D6EF-3C56-4BFF-B634-54988F7AD571}</b:Guid>
    <b:Author>
      <b:Author>
        <b:NameList>
          <b:Person>
            <b:Last>Künzel</b:Last>
            <b:First>Hartwig</b:First>
            <b:Middle>M.</b:Middle>
          </b:Person>
        </b:NameList>
      </b:Author>
    </b:Author>
    <b:Title>IBP Mitteilung 355</b:Title>
    <b:Year>1999 b</b:Year>
    <b:City>Stuttgart, Germany</b:City>
    <b:Publisher>Fraunhofer-Institut für Bauphysik</b:Publisher>
    <b:Volume>26</b:Volume>
    <b:RefOrder>10</b:RefOrder>
  </b:Source>
  <b:Source>
    <b:Tag>Ten99</b:Tag>
    <b:SourceType>ConferenceProceedings</b:SourceType>
    <b:Guid>{53DF06E6-6F0D-4A8C-AA23-1CED695DF328}</b:Guid>
    <b:Author>
      <b:Author>
        <b:NameList>
          <b:Person>
            <b:Last>TenWolde</b:Last>
            <b:First>Anton</b:First>
          </b:Person>
          <b:Person>
            <b:Last>Carll</b:Last>
            <b:First>Charles</b:First>
            <b:Middle>G.</b:Middle>
          </b:Person>
          <b:Person>
            <b:Last>Malinauskas</b:Last>
            <b:First>Vyto</b:First>
          </b:Person>
        </b:NameList>
      </b:Author>
    </b:Author>
    <b:Title>Air Pressures in Wood Frame Walls</b:Title>
    <b:City>Atlanta</b:City>
    <b:Year>1998</b:Year>
    <b:Publisher>ASHRAE Publication</b:Publisher>
    <b:ConferenceName>Air Pressures in Wood Frame WallsProceedings Thermal VII</b:ConferenceName>
    <b:RefOrder>11</b:RefOrder>
  </b:Source>
  <b:Source>
    <b:Tag>Kün10</b:Tag>
    <b:SourceType>Misc</b:SourceType>
    <b:Guid>{B69B8F35-35DA-42B2-8A71-01A5EC541578}</b:Guid>
    <b:Author>
      <b:Author>
        <b:NameList>
          <b:Person>
            <b:Last>Künzel</b:Last>
            <b:First>Hartwig</b:First>
            <b:Middle>M.</b:Middle>
          </b:Person>
        </b:NameList>
      </b:Author>
    </b:Author>
    <b:Title>Trocknungsreserven schaffen! Einfluss des Feuchteeintrags aus Dampfkonvektion</b:Title>
    <b:Year>2010</b:Year>
    <b:Publisher>Fraunhofer-Institut für Bauphysik</b:Publisher>
    <b:Comments>Lecture at the Holzschutz und Bauphysik Kongress 2010 in Munich, Germany</b:Comments>
    <b:RefOrder>12</b:RefOrder>
  </b:Source>
  <b:Source>
    <b:Tag>Ruh95</b:Tag>
    <b:SourceType>JournalArticle</b:SourceType>
    <b:Guid>{20C7A04E-9684-40CB-B6A6-1C3982FEE76B}</b:Guid>
    <b:Title>Nichtbelüftetes geneigtes Dach mit Sparrenvolldämmung - Wasserabtropfungen von der Decke in Sommer</b:Title>
    <b:Year>1995</b:Year>
    <b:Author>
      <b:Author>
        <b:NameList>
          <b:Person>
            <b:Last>Ruhe</b:Last>
            <b:First>Carsten</b:First>
          </b:Person>
        </b:NameList>
      </b:Author>
    </b:Author>
    <b:Issue>8</b:Issue>
    <b:JournalName>Deutsches Architektenblatt </b:JournalName>
    <b:Pages>1470-1481</b:Pages>
    <b:Volume>27</b:Volume>
    <b:RefOrder>13</b:RefOrder>
  </b:Source>
  <b:Source>
    <b:Tag>Klo97</b:Tag>
    <b:SourceType>JournalArticle</b:SourceType>
    <b:Guid>{97AA78D9-038C-4AF9-9955-623B438DDB5C}</b:Guid>
    <b:Title>Flankenübertragung bei der Wasserdampfdiffusion</b:Title>
    <b:Year>1997</b:Year>
    <b:Issue>1</b:Issue>
    <b:Author>
      <b:Author>
        <b:NameList>
          <b:Person>
            <b:Last>Klopfer</b:Last>
          </b:Person>
          <b:Person>
            <b:Last>Heinz</b:Last>
          </b:Person>
        </b:NameList>
      </b:Author>
    </b:Author>
    <b:JournalName>ARCONIS: Wissen zum Planen und Bauen und zum Baumarkt</b:JournalName>
    <b:Pages>8-10</b:Pages>
    <b:Volume>2</b:Volume>
    <b:RefOrder>14</b:RefOrder>
  </b:Source>
  <b:Source>
    <b:Tag>Kün96</b:Tag>
    <b:SourceType>JournalArticle</b:SourceType>
    <b:Guid>{2D9B29F5-AA41-4F9B-AFE3-001DE12F165A}</b:Guid>
    <b:Title>Tauwasserschäden im Dach aufgrund von Diffusion durch angrenzendes Mauerwerk</b:Title>
    <b:Year>1996</b:Year>
    <b:Issue>37</b:Issue>
    <b:Author>
      <b:Author>
        <b:NameList>
          <b:Person>
            <b:Last>Künzel</b:Last>
            <b:Middle>M.</b:Middle>
            <b:First>H.</b:First>
          </b:Person>
        </b:NameList>
      </b:Author>
    </b:Author>
    <b:JournalName>WKSB Zeitschrift für Wärmeschutz, Kälteschutz, Schallschutz, Brandschutz 41</b:JournalName>
    <b:Pages>34-36</b:Pages>
    <b:RefOrder>15</b:RefOrder>
  </b:Source>
  <b:Source>
    <b:Tag>Fra</b:Tag>
    <b:SourceType>Misc</b:SourceType>
    <b:Guid>{2B04E840-F139-4648-9306-673B0C25C52A}</b:Guid>
    <b:Title>Guideline for the calculation of extensive green roofs</b:Title>
    <b:Author>
      <b:Author>
        <b:Corporate>Fraunhofer-Institut für Bauphysik</b:Corporate>
      </b:Author>
    </b:Author>
    <b:Publisher>Fraunhofer-Institut für Bauphysik</b:Publisher>
    <b:RefOrder>19</b:RefOrder>
  </b:Source>
  <b:Source>
    <b:Tag>Fra1</b:Tag>
    <b:SourceType>Misc</b:SourceType>
    <b:Guid>{826C2CB8-D115-496D-B2F0-744ED1597A80}</b:Guid>
    <b:Author>
      <b:Author>
        <b:Corporate>Fraunhofer-Institut für Bauphysik</b:Corporate>
      </b:Author>
    </b:Author>
    <b:Title>Guideline for the calculation of gravel roofs</b:Title>
    <b:Publisher>Fraunhofer-Institut für Bauphysik</b:Publisher>
    <b:Year>2014</b:Year>
    <b:RefOrder>20</b:RefOrder>
  </b:Source>
  <b:Source>
    <b:Tag>Köl15</b:Tag>
    <b:SourceType>Misc</b:SourceType>
    <b:Guid>{B192764F-8674-4B4A-B31C-70E5079A4E0B}</b:Guid>
    <b:Title>Hygrothermal simulation of ventilated pitched roofs with effective transfer parameters</b:Title>
    <b:Year>2015</b:Year>
    <b:Publisher>Fraunhofer-Institut für Bauphisik</b:Publisher>
    <b:Author>
      <b:Author>
        <b:NameList>
          <b:Person>
            <b:Last>Kölsch</b:Last>
            <b:First>Philipp</b:First>
          </b:Person>
        </b:NameList>
      </b:Author>
    </b:Author>
    <b:RefOrder>21</b:RefOrder>
  </b:Source>
  <b:Source>
    <b:Tag>ISO17</b:Tag>
    <b:SourceType>Misc</b:SourceType>
    <b:Guid>{4292699E-095B-4838-87BB-A1D2B630F412}</b:Guid>
    <b:Author>
      <b:Author>
        <b:Corporate>ISOPROC</b:Corporate>
      </b:Author>
    </b:Author>
    <b:Title>Binnenklimaatmodel voor het maken van hygrothermische simulaties.</b:Title>
    <b:Year>2017</b:Year>
    <b:City>Hombeek</b:City>
    <b:Publisher>ISOPROC</b:Publisher>
    <b:RefOrder>5</b:RefOrder>
  </b:Source>
  <b:Source>
    <b:Tag>ASH01</b:Tag>
    <b:SourceType>Report</b:SourceType>
    <b:Guid>{D93B21D9-BC5C-421C-B917-A8C6243BB9EE}</b:Guid>
    <b:Title>International Weather for Energy Calculations (IWEC Weather Files)</b:Title>
    <b:Year>2001</b:Year>
    <b:City>Atlanta</b:City>
    <b:Author>
      <b:Author>
        <b:Corporate>ASHRAE</b:Corporate>
      </b:Author>
    </b:Author>
    <b:RefOrder>1</b:RefOrder>
  </b:Source>
  <b:Source>
    <b:Tag>Zir</b:Tag>
    <b:SourceType>ConferenceProceedings</b:SourceType>
    <b:Guid>{E217BE15-754D-4B8E-9673-6D25B73A95C6}</b:Guid>
    <b:ConferenceName>4th Intern. Symposium on Building and Ductwork Airtightness</b:ConferenceName>
    <b:Author>
      <b:Author>
        <b:NameList>
          <b:Person>
            <b:Last>Zirkelbach</b:Last>
            <b:First>Daniel</b:First>
          </b:Person>
          <b:Person>
            <b:First>H.M. Künzel</b:First>
          </b:Person>
          <b:Person>
            <b:Last>Schafaczek</b:Last>
            <b:First>B.</b:First>
          </b:Person>
          <b:Person>
            <b:Last>Borsch-Laaks</b:Last>
            <b:First>Robert</b:First>
          </b:Person>
        </b:NameList>
      </b:Author>
    </b:Author>
    <b:Year>2009</b:Year>
    <b:City>Berlin</b:City>
    <b:Title>Dampfkonvektion wird berechenbar - Instationäres Modell zur Berücksichtigung von konvektivem Feuchteeintrag bei der Simulationen von Leichtbaukonstructionen</b:Title>
    <b:RefOrder>16</b:RefOrder>
  </b:Source>
  <b:Source>
    <b:Tag>Blu14</b:Tag>
    <b:SourceType>JournalArticle</b:SourceType>
    <b:Guid>{937ECB82-7799-49E4-BFA3-1DB38B6C2BCB}</b:Guid>
    <b:Title>Verschattung von Holzflachdächern - Holz-Flachdächer: Neue Forschungsergebnisse zu Dachterrassen und Verschattung durch PV-Module</b:Title>
    <b:Year>2014</b:Year>
    <b:JournalName>Holzbau</b:JournalName>
    <b:Pages>58-61</b:Pages>
    <b:Issue>6</b:Issue>
    <b:Author>
      <b:Author>
        <b:NameList>
          <b:Person>
            <b:Last>Bludau</b:Last>
            <b:First>christian</b:First>
          </b:Person>
          <b:Person>
            <b:Last>Kölsch</b:Last>
            <b:First>Philipp</b:First>
          </b:Person>
        </b:NameList>
      </b:Author>
    </b:Author>
    <b:RefOrder>18</b:RefOrder>
  </b:Source>
</b:Sources>
</file>

<file path=customXml/item5.xml><?xml version="1.0" encoding="utf-8"?>
<p:properties xmlns:p="http://schemas.microsoft.com/office/2006/metadata/properties" xmlns:xsi="http://www.w3.org/2001/XMLSchema-instance" xmlns:pc="http://schemas.microsoft.com/office/infopath/2007/PartnerControls">
  <documentManagement>
    <Openbaar xmlns="8dd4aa39-2cc7-43e5-9b40-f699e142f926">Niet openbaar</Openbaar>
    <TaxCatchAll xmlns="3a5ea43b-212a-44c1-9526-2e9d31f13eb9" xsi:nil="true"/>
    <k3b8afc890c9414984d55b07212c604e xmlns="8dd4aa39-2cc7-43e5-9b40-f699e142f926">
      <Terms xmlns="http://schemas.microsoft.com/office/infopath/2007/PartnerControls"/>
    </k3b8afc890c9414984d55b07212c604e>
    <ie30b0113e9e44259e1efd1a383c79a9 xmlns="8dd4aa39-2cc7-43e5-9b40-f699e142f926">
      <Terms xmlns="http://schemas.microsoft.com/office/infopath/2007/PartnerControls"/>
    </ie30b0113e9e44259e1efd1a383c79a9>
    <Plaats xmlns="8dd4aa39-2cc7-43e5-9b40-f699e142f926">
      <Url xsi:nil="true"/>
      <Description xsi:nil="true"/>
    </Plaats>
    <TaxKeywordTaxHTField xmlns="3a5ea43b-212a-44c1-9526-2e9d31f13eb9">
      <Terms xmlns="http://schemas.microsoft.com/office/infopath/2007/PartnerControls"/>
    </TaxKeywordTaxHTField>
    <Afbeelding xmlns="8dd4aa39-2cc7-43e5-9b40-f699e142f926">
      <Url xsi:nil="true"/>
      <Description xsi:nil="true"/>
    </Afbeelding>
    <lcf76f155ced4ddcb4097134ff3c332f xmlns="8dd4aa39-2cc7-43e5-9b40-f699e142f926">
      <Terms xmlns="http://schemas.microsoft.com/office/infopath/2007/PartnerControls"/>
    </lcf76f155ced4ddcb4097134ff3c332f>
    <_Flow_SignoffStatus xmlns="8dd4aa39-2cc7-43e5-9b40-f699e142f926" xsi:nil="true"/>
    <Mijn_x0020_grootste_x0020_passie_x0020_is_x002e__x002e__x002e_ xmlns="8dd4aa39-2cc7-43e5-9b40-f699e142f926" xsi:nil="true"/>
    <Stel_x0020_jezelf_x0020_kort_x0020_voor_x0020__x002d__x0020_Wie_x0020_ben_x0020_je_x003f_ xmlns="8dd4aa39-2cc7-43e5-9b40-f699e142f926" xsi:nil="true"/>
    <Job_x0020_bij_x0020_ISOPROC_x003f_ xmlns="8dd4aa39-2cc7-43e5-9b40-f699e142f926" xsi:nil="true"/>
    <Mijn_x0020_motto_x0020_is_x003a_ xmlns="8dd4aa39-2cc7-43e5-9b40-f699e142f92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220C18-A3A7-4DE2-B9E5-94889B63B92D}">
  <ds:schemaRefs>
    <ds:schemaRef ds:uri="http://schemas.microsoft.com/sharepoint/v3/contenttype/forms"/>
  </ds:schemaRefs>
</ds:datastoreItem>
</file>

<file path=customXml/itemProps3.xml><?xml version="1.0" encoding="utf-8"?>
<ds:datastoreItem xmlns:ds="http://schemas.openxmlformats.org/officeDocument/2006/customXml" ds:itemID="{7AB759F5-5003-4D61-ACFF-2D5D4679F853}"/>
</file>

<file path=customXml/itemProps4.xml><?xml version="1.0" encoding="utf-8"?>
<ds:datastoreItem xmlns:ds="http://schemas.openxmlformats.org/officeDocument/2006/customXml" ds:itemID="{5E9A74DE-107D-4224-8F51-7AB2F5696CE3}">
  <ds:schemaRefs>
    <ds:schemaRef ds:uri="http://schemas.openxmlformats.org/officeDocument/2006/bibliography"/>
  </ds:schemaRefs>
</ds:datastoreItem>
</file>

<file path=customXml/itemProps5.xml><?xml version="1.0" encoding="utf-8"?>
<ds:datastoreItem xmlns:ds="http://schemas.openxmlformats.org/officeDocument/2006/customXml" ds:itemID="{D9D3CB35-5F31-4373-9CE9-6E447C6E3D6D}">
  <ds:schemaRefs>
    <ds:schemaRef ds:uri="http://schemas.microsoft.com/office/2006/metadata/properties"/>
    <ds:schemaRef ds:uri="http://schemas.microsoft.com/office/infopath/2007/PartnerControls"/>
    <ds:schemaRef ds:uri="8dd4aa39-2cc7-43e5-9b40-f699e142f926"/>
    <ds:schemaRef ds:uri="3a5ea43b-212a-44c1-9526-2e9d31f13e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5362</Words>
  <Characters>29491</Characters>
  <Application>Microsoft Office Word</Application>
  <DocSecurity>0</DocSecurity>
  <Lines>245</Lines>
  <Paragraphs>69</Paragraphs>
  <ScaleCrop>false</ScaleCrop>
  <Company/>
  <LinksUpToDate>false</LinksUpToDate>
  <CharactersWithSpaces>34784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mur extérieur REI 60 ouate de cellulose iQ3</dc:title>
  <dc:subject/>
  <dc:creator>Arnout Ulenaers</dc:creator>
  <cp:keywords/>
  <dc:description/>
  <cp:lastModifiedBy>Arnout Ulenaers</cp:lastModifiedBy>
  <cp:revision>333</cp:revision>
  <cp:lastPrinted>2020-03-09T07:39:00Z</cp:lastPrinted>
  <dcterms:created xsi:type="dcterms:W3CDTF">2020-04-16T16:19:00Z</dcterms:created>
  <dcterms:modified xsi:type="dcterms:W3CDTF">2024-09-17T05:49:00Z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Producten ISOPROC">
    <vt:lpwstr/>
  </property>
  <property fmtid="{D5CDD505-2E9C-101B-9397-08002B2CF9AE}" pid="4" name="ContentTypeId">
    <vt:lpwstr>0x010100D17F41B244118447A2ADD66A1C69B4BC</vt:lpwstr>
  </property>
  <property fmtid="{D5CDD505-2E9C-101B-9397-08002B2CF9AE}" pid="5" name="Bouwinfo">
    <vt:lpwstr/>
  </property>
  <property fmtid="{D5CDD505-2E9C-101B-9397-08002B2CF9AE}" pid="6" name="MediaServiceImageTags">
    <vt:lpwstr/>
  </property>
  <property fmtid="{D5CDD505-2E9C-101B-9397-08002B2CF9AE}" pid="7" name="Producten_x0020_ISOPROC">
    <vt:lpwstr/>
  </property>
  <property fmtid="{D5CDD505-2E9C-101B-9397-08002B2CF9AE}" pid="9" name="docLang">
    <vt:lpwstr>fr</vt:lpwstr>
  </property>
</Properties>
</file>